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w:t>
      </w:r>
      <w:r>
        <w:rPr>
          <w:rFonts w:hint="eastAsia" w:ascii="楷体_GB2312" w:hAnsi="楷体_GB2312" w:eastAsia="楷体_GB2312" w:cs="楷体_GB2312"/>
          <w:b/>
          <w:bCs/>
          <w:szCs w:val="32"/>
          <w:lang w:val="en-US" w:eastAsia="zh-CN"/>
        </w:rPr>
        <w:t>4</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1</w:t>
      </w:r>
      <w:r>
        <w:rPr>
          <w:rFonts w:hint="eastAsia" w:ascii="楷体_GB2312" w:hAnsi="楷体_GB2312" w:eastAsia="楷体_GB2312" w:cs="楷体_GB2312"/>
          <w:b/>
          <w:bCs/>
          <w:szCs w:val="32"/>
        </w:rPr>
        <w:t>.</w:t>
      </w:r>
      <w:r>
        <w:rPr>
          <w:rFonts w:hint="default" w:ascii="楷体_GB2312" w:hAnsi="楷体_GB2312" w:eastAsia="楷体_GB2312" w:cs="楷体_GB2312"/>
          <w:b/>
          <w:bCs/>
          <w:szCs w:val="32"/>
        </w:rPr>
        <w:t>1</w:t>
      </w:r>
      <w:r>
        <w:rPr>
          <w:rFonts w:hint="eastAsia" w:ascii="楷体_GB2312" w:hAnsi="楷体_GB2312" w:eastAsia="楷体_GB2312" w:cs="楷体_GB2312"/>
          <w:b/>
          <w:bCs/>
          <w:szCs w:val="32"/>
          <w:lang w:val="en-US" w:eastAsia="zh-CN"/>
        </w:rPr>
        <w:t>8</w:t>
      </w:r>
      <w:r>
        <w:rPr>
          <w:rFonts w:hint="eastAsia" w:ascii="楷体_GB2312" w:hAnsi="楷体_GB2312" w:eastAsia="楷体_GB2312" w:cs="楷体_GB2312"/>
          <w:b/>
          <w:bCs/>
          <w:szCs w:val="32"/>
        </w:rPr>
        <w:t>）</w:t>
      </w:r>
    </w:p>
    <w:p>
      <w:pPr>
        <w:widowControl w:val="0"/>
        <w:ind w:firstLine="640"/>
        <w:rPr>
          <w:rFonts w:hint="eastAsia"/>
          <w:szCs w:val="32"/>
        </w:rPr>
      </w:pPr>
      <w:r>
        <w:rPr>
          <w:rFonts w:hint="eastAsia"/>
          <w:szCs w:val="32"/>
        </w:rPr>
        <w:t>国能e购将于202</w:t>
      </w:r>
      <w:r>
        <w:rPr>
          <w:rFonts w:hint="eastAsia"/>
          <w:szCs w:val="32"/>
          <w:lang w:val="en-US" w:eastAsia="zh-CN"/>
        </w:rPr>
        <w:t>4</w:t>
      </w:r>
      <w:r>
        <w:rPr>
          <w:rFonts w:hint="eastAsia"/>
          <w:szCs w:val="32"/>
        </w:rPr>
        <w:t>年</w:t>
      </w:r>
      <w:r>
        <w:rPr>
          <w:rFonts w:hint="default"/>
          <w:szCs w:val="32"/>
        </w:rPr>
        <w:t>1</w:t>
      </w:r>
      <w:r>
        <w:rPr>
          <w:rFonts w:hint="eastAsia"/>
          <w:szCs w:val="32"/>
        </w:rPr>
        <w:t>月</w:t>
      </w:r>
      <w:r>
        <w:rPr>
          <w:rFonts w:hint="default"/>
          <w:szCs w:val="32"/>
        </w:rPr>
        <w:t>1</w:t>
      </w:r>
      <w:r>
        <w:rPr>
          <w:rFonts w:hint="eastAsia"/>
          <w:szCs w:val="32"/>
          <w:lang w:val="en-US" w:eastAsia="zh-CN"/>
        </w:rPr>
        <w:t>8</w:t>
      </w:r>
      <w:r>
        <w:rPr>
          <w:rFonts w:hint="eastAsia"/>
          <w:szCs w:val="32"/>
        </w:rPr>
        <w:t>日19:00进行发版，本次发版的主要内容如下：</w:t>
      </w:r>
    </w:p>
    <w:p>
      <w:pPr>
        <w:pStyle w:val="4"/>
        <w:rPr>
          <w:rFonts w:hint="eastAsia" w:ascii="仿宋_GB2312" w:hAnsi="仿宋_GB2312" w:eastAsia="仿宋_GB2312"/>
          <w:b/>
          <w:bCs/>
          <w:color w:val="000000"/>
          <w:kern w:val="2"/>
          <w:sz w:val="32"/>
          <w:szCs w:val="32"/>
          <w:lang w:val="en-US" w:eastAsia="zh-CN"/>
        </w:rPr>
      </w:pPr>
      <w:r>
        <w:rPr>
          <w:rFonts w:hint="eastAsia"/>
          <w:b/>
          <w:bCs/>
          <w:color w:val="000000"/>
          <w:kern w:val="2"/>
          <w:sz w:val="32"/>
          <w:szCs w:val="32"/>
          <w:lang w:val="en-US" w:eastAsia="zh-CN"/>
        </w:rPr>
        <w:t>一、</w:t>
      </w:r>
      <w:r>
        <w:rPr>
          <w:rFonts w:hint="eastAsia" w:ascii="仿宋_GB2312" w:hAnsi="仿宋_GB2312" w:eastAsia="仿宋_GB2312"/>
          <w:b/>
          <w:bCs/>
          <w:color w:val="000000"/>
          <w:kern w:val="2"/>
          <w:sz w:val="32"/>
          <w:szCs w:val="32"/>
          <w:lang w:val="en-US" w:eastAsia="zh-CN"/>
        </w:rPr>
        <w:t>国能e购商城</w:t>
      </w:r>
    </w:p>
    <w:p>
      <w:pPr>
        <w:pStyle w:val="4"/>
        <w:rPr>
          <w:rFonts w:hint="eastAsia" w:ascii="仿宋_GB2312" w:hAnsi="仿宋_GB2312" w:eastAsia="仿宋_GB2312"/>
          <w:b w:val="0"/>
          <w:bCs w:val="0"/>
          <w:color w:val="000000"/>
          <w:kern w:val="2"/>
          <w:sz w:val="32"/>
          <w:szCs w:val="32"/>
          <w:lang w:val="en-US" w:eastAsia="zh-CN"/>
        </w:rPr>
      </w:pPr>
      <w:r>
        <w:rPr>
          <w:rFonts w:hint="eastAsia"/>
          <w:b w:val="0"/>
          <w:bCs w:val="0"/>
          <w:color w:val="000000"/>
          <w:kern w:val="2"/>
          <w:sz w:val="32"/>
          <w:szCs w:val="32"/>
          <w:lang w:val="en-US" w:eastAsia="zh-CN"/>
        </w:rPr>
        <w:t>1.</w:t>
      </w:r>
      <w:r>
        <w:rPr>
          <w:rFonts w:hint="eastAsia" w:ascii="仿宋_GB2312" w:hAnsi="仿宋_GB2312" w:eastAsia="仿宋_GB2312"/>
          <w:b w:val="0"/>
          <w:bCs w:val="0"/>
          <w:color w:val="000000"/>
          <w:kern w:val="2"/>
          <w:sz w:val="32"/>
          <w:szCs w:val="32"/>
          <w:lang w:val="en-US" w:eastAsia="zh-CN"/>
        </w:rPr>
        <w:t>电商商品采购方式变更审批单据提交到对应服务主体时，增加向服务主体“业务监督(服务)”角色发送短信提醒功能。</w:t>
      </w:r>
    </w:p>
    <w:p>
      <w:pPr>
        <w:pStyle w:val="4"/>
        <w:rPr>
          <w:rFonts w:hint="eastAsia" w:ascii="仿宋_GB2312" w:hAnsi="仿宋_GB2312" w:eastAsia="仿宋_GB2312"/>
          <w:b w:val="0"/>
          <w:bCs w:val="0"/>
          <w:color w:val="000000"/>
          <w:kern w:val="2"/>
          <w:sz w:val="32"/>
          <w:szCs w:val="32"/>
          <w:lang w:val="en-US" w:eastAsia="zh-CN"/>
        </w:rPr>
      </w:pPr>
      <w:r>
        <w:rPr>
          <w:rFonts w:hint="eastAsia"/>
          <w:b w:val="0"/>
          <w:bCs w:val="0"/>
          <w:color w:val="000000"/>
          <w:kern w:val="2"/>
          <w:sz w:val="32"/>
          <w:szCs w:val="32"/>
          <w:lang w:val="en-US" w:eastAsia="zh-CN"/>
        </w:rPr>
        <w:t>2.</w:t>
      </w:r>
      <w:r>
        <w:rPr>
          <w:rFonts w:hint="eastAsia" w:ascii="仿宋_GB2312" w:hAnsi="仿宋_GB2312" w:eastAsia="仿宋_GB2312"/>
          <w:b w:val="0"/>
          <w:bCs w:val="0"/>
          <w:color w:val="000000"/>
          <w:kern w:val="2"/>
          <w:sz w:val="32"/>
          <w:szCs w:val="32"/>
          <w:lang w:val="en-US" w:eastAsia="zh-CN"/>
        </w:rPr>
        <w:t>电子超市订单，将京东订单到货登记节点变更为以收到京东推送的妥投消息(type-5)为准，验收方式和逻辑保持不变。</w:t>
      </w:r>
    </w:p>
    <w:p>
      <w:pPr>
        <w:pStyle w:val="4"/>
        <w:rPr>
          <w:rFonts w:hint="eastAsia" w:ascii="仿宋_GB2312" w:hAnsi="仿宋_GB2312" w:eastAsia="仿宋_GB2312"/>
          <w:b w:val="0"/>
          <w:bCs w:val="0"/>
          <w:color w:val="000000"/>
          <w:kern w:val="2"/>
          <w:sz w:val="32"/>
          <w:szCs w:val="32"/>
          <w:lang w:val="en-US" w:eastAsia="zh-CN"/>
        </w:rPr>
      </w:pPr>
      <w:r>
        <w:rPr>
          <w:rFonts w:hint="eastAsia"/>
          <w:b w:val="0"/>
          <w:bCs w:val="0"/>
          <w:color w:val="000000"/>
          <w:kern w:val="2"/>
          <w:sz w:val="32"/>
          <w:szCs w:val="32"/>
          <w:lang w:val="en-US" w:eastAsia="zh-CN"/>
        </w:rPr>
        <w:t>3.</w:t>
      </w:r>
      <w:r>
        <w:rPr>
          <w:rFonts w:hint="eastAsia" w:ascii="仿宋_GB2312" w:hAnsi="仿宋_GB2312" w:eastAsia="仿宋_GB2312"/>
          <w:b w:val="0"/>
          <w:bCs w:val="0"/>
          <w:color w:val="000000"/>
          <w:kern w:val="2"/>
          <w:sz w:val="32"/>
          <w:szCs w:val="32"/>
          <w:lang w:val="en-US" w:eastAsia="zh-CN"/>
        </w:rPr>
        <w:t>将企业用户管理-分配角色权限页面待分配列表和已分配列表每页显示条目数增加到300条。</w:t>
      </w:r>
    </w:p>
    <w:p>
      <w:pPr>
        <w:pStyle w:val="4"/>
        <w:rPr>
          <w:rFonts w:hint="eastAsia" w:ascii="仿宋_GB2312" w:hAnsi="仿宋_GB2312" w:eastAsia="仿宋_GB2312"/>
          <w:b/>
          <w:bCs/>
          <w:color w:val="000000"/>
          <w:kern w:val="2"/>
          <w:sz w:val="32"/>
          <w:szCs w:val="32"/>
          <w:lang w:val="en-US" w:eastAsia="zh-CN"/>
        </w:rPr>
      </w:pPr>
      <w:r>
        <w:rPr>
          <w:rFonts w:hint="eastAsia"/>
          <w:b/>
          <w:bCs/>
          <w:color w:val="000000"/>
          <w:kern w:val="2"/>
          <w:sz w:val="32"/>
          <w:szCs w:val="32"/>
          <w:lang w:val="en-US" w:eastAsia="zh-CN"/>
        </w:rPr>
        <w:t>二、</w:t>
      </w:r>
      <w:r>
        <w:rPr>
          <w:rFonts w:hint="eastAsia" w:ascii="仿宋_GB2312" w:hAnsi="仿宋_GB2312" w:eastAsia="仿宋_GB2312"/>
          <w:b/>
          <w:bCs/>
          <w:color w:val="000000"/>
          <w:kern w:val="2"/>
          <w:sz w:val="32"/>
          <w:szCs w:val="32"/>
          <w:lang w:val="en-US" w:eastAsia="zh-CN"/>
        </w:rPr>
        <w:t>国能e购非招标采购</w:t>
      </w:r>
    </w:p>
    <w:p>
      <w:pPr>
        <w:pStyle w:val="4"/>
        <w:rPr>
          <w:rFonts w:hint="eastAsia" w:ascii="仿宋_GB2312" w:hAnsi="仿宋_GB2312" w:eastAsia="仿宋_GB2312"/>
          <w:b w:val="0"/>
          <w:bCs w:val="0"/>
          <w:color w:val="000000"/>
          <w:kern w:val="2"/>
          <w:sz w:val="32"/>
          <w:szCs w:val="32"/>
          <w:lang w:val="en-US" w:eastAsia="zh-CN"/>
        </w:rPr>
      </w:pPr>
      <w:r>
        <w:rPr>
          <w:rFonts w:hint="eastAsia" w:ascii="仿宋_GB2312" w:hAnsi="仿宋_GB2312" w:eastAsia="仿宋_GB2312"/>
          <w:b w:val="0"/>
          <w:bCs w:val="0"/>
          <w:color w:val="000000"/>
          <w:kern w:val="2"/>
          <w:sz w:val="32"/>
          <w:szCs w:val="32"/>
          <w:lang w:val="en-US" w:eastAsia="zh-CN"/>
        </w:rPr>
        <w:t>1.单一来源计划：挂网审批时间大于报价截止时间时，审批人需要驳回到采购专责修改报价截止时间；距报价截止时间不足72小时时，系统会提示审批人。</w:t>
      </w:r>
    </w:p>
    <w:p>
      <w:pPr>
        <w:pStyle w:val="4"/>
        <w:rPr>
          <w:rFonts w:hint="eastAsia" w:ascii="仿宋_GB2312" w:hAnsi="仿宋_GB2312" w:eastAsia="仿宋_GB2312"/>
          <w:b w:val="0"/>
          <w:bCs w:val="0"/>
          <w:color w:val="000000"/>
          <w:kern w:val="2"/>
          <w:sz w:val="32"/>
          <w:szCs w:val="32"/>
          <w:lang w:val="en-US" w:eastAsia="zh-CN"/>
        </w:rPr>
      </w:pPr>
      <w:r>
        <w:rPr>
          <w:rFonts w:hint="eastAsia" w:ascii="仿宋_GB2312" w:hAnsi="仿宋_GB2312" w:eastAsia="仿宋_GB2312"/>
          <w:b w:val="0"/>
          <w:bCs w:val="0"/>
          <w:color w:val="000000"/>
          <w:kern w:val="2"/>
          <w:sz w:val="32"/>
          <w:szCs w:val="32"/>
          <w:lang w:val="en-US" w:eastAsia="zh-CN"/>
        </w:rPr>
        <w:t>2.修复同一标包退回SRM并重新推送e购后，在挂网、回收报价等环节出现的问题。</w:t>
      </w:r>
    </w:p>
    <w:p>
      <w:pPr>
        <w:pStyle w:val="4"/>
        <w:rPr>
          <w:rFonts w:hint="eastAsia" w:ascii="仿宋_GB2312" w:hAnsi="仿宋_GB2312" w:eastAsia="仿宋_GB2312"/>
          <w:b/>
          <w:bCs/>
          <w:color w:val="000000"/>
          <w:kern w:val="2"/>
          <w:sz w:val="32"/>
          <w:szCs w:val="32"/>
          <w:lang w:val="en-US" w:eastAsia="zh-CN"/>
        </w:rPr>
      </w:pPr>
      <w:r>
        <w:rPr>
          <w:rFonts w:hint="eastAsia"/>
          <w:b/>
          <w:bCs/>
          <w:color w:val="000000"/>
          <w:kern w:val="2"/>
          <w:sz w:val="32"/>
          <w:szCs w:val="32"/>
          <w:lang w:val="en-US" w:eastAsia="zh-CN"/>
        </w:rPr>
        <w:t>三、</w:t>
      </w:r>
      <w:r>
        <w:rPr>
          <w:rFonts w:hint="eastAsia" w:ascii="仿宋_GB2312" w:hAnsi="仿宋_GB2312" w:eastAsia="仿宋_GB2312"/>
          <w:b/>
          <w:bCs/>
          <w:color w:val="000000"/>
          <w:kern w:val="2"/>
          <w:sz w:val="32"/>
          <w:szCs w:val="32"/>
          <w:lang w:val="en-US" w:eastAsia="zh-CN"/>
        </w:rPr>
        <w:t>支付结算</w:t>
      </w:r>
    </w:p>
    <w:p>
      <w:pPr>
        <w:pStyle w:val="4"/>
        <w:rPr>
          <w:rFonts w:hint="eastAsia" w:ascii="仿宋_GB2312" w:hAnsi="仿宋_GB2312" w:eastAsia="仿宋_GB2312"/>
          <w:b w:val="0"/>
          <w:bCs w:val="0"/>
          <w:color w:val="000000"/>
          <w:kern w:val="2"/>
          <w:sz w:val="32"/>
          <w:szCs w:val="32"/>
          <w:lang w:val="en-US" w:eastAsia="zh-CN"/>
        </w:rPr>
      </w:pPr>
      <w:r>
        <w:rPr>
          <w:rFonts w:hint="eastAsia" w:ascii="仿宋_GB2312" w:hAnsi="仿宋_GB2312" w:eastAsia="仿宋_GB2312"/>
          <w:b w:val="0"/>
          <w:bCs w:val="0"/>
          <w:color w:val="000000"/>
          <w:kern w:val="2"/>
          <w:sz w:val="32"/>
          <w:szCs w:val="32"/>
          <w:lang w:val="en-US" w:eastAsia="zh-CN"/>
        </w:rPr>
        <w:t>1</w:t>
      </w:r>
      <w:r>
        <w:rPr>
          <w:rFonts w:hint="eastAsia"/>
          <w:b w:val="0"/>
          <w:bCs w:val="0"/>
          <w:color w:val="000000"/>
          <w:kern w:val="2"/>
          <w:sz w:val="32"/>
          <w:szCs w:val="32"/>
          <w:lang w:val="en-US" w:eastAsia="zh-CN"/>
        </w:rPr>
        <w:t>.</w:t>
      </w:r>
      <w:r>
        <w:rPr>
          <w:rFonts w:hint="eastAsia" w:ascii="仿宋_GB2312" w:hAnsi="仿宋_GB2312" w:eastAsia="仿宋_GB2312"/>
          <w:b w:val="0"/>
          <w:bCs w:val="0"/>
          <w:color w:val="000000"/>
          <w:kern w:val="2"/>
          <w:sz w:val="32"/>
          <w:szCs w:val="32"/>
          <w:lang w:val="en-US" w:eastAsia="zh-CN"/>
        </w:rPr>
        <w:t>结算管理-超市专业公司开票-开票申请发起、开票申请管理，结算管理-配送业务开票出库-开票申请发起、开票申请管理4个菜单增加成品油标识筛选项、显示列及导出数据。</w:t>
      </w:r>
    </w:p>
    <w:p>
      <w:pPr>
        <w:pStyle w:val="3"/>
        <w:widowControl w:val="0"/>
        <w:numPr>
          <w:numId w:val="0"/>
        </w:numPr>
        <w:spacing w:before="120" w:line="560" w:lineRule="exact"/>
        <w:ind w:left="643" w:leftChars="0"/>
        <w:rPr>
          <w:rFonts w:hint="default" w:ascii="仿宋_GB2312" w:hAnsi="仿宋_GB2312" w:eastAsia="仿宋_GB2312"/>
          <w:b/>
          <w:bCs/>
          <w:color w:val="000000"/>
          <w:kern w:val="2"/>
          <w:sz w:val="32"/>
          <w:szCs w:val="32"/>
        </w:rPr>
      </w:pPr>
      <w:r>
        <w:rPr>
          <w:rFonts w:hint="eastAsia" w:ascii="仿宋_GB2312" w:hAnsi="仿宋_GB2312" w:eastAsia="仿宋_GB2312"/>
          <w:b/>
          <w:bCs/>
          <w:color w:val="000000"/>
          <w:kern w:val="2"/>
          <w:sz w:val="32"/>
          <w:szCs w:val="32"/>
          <w:lang w:val="en-US" w:eastAsia="zh-CN"/>
        </w:rPr>
        <w:t>四、</w:t>
      </w:r>
      <w:r>
        <w:rPr>
          <w:rFonts w:ascii="仿宋_GB2312" w:hAnsi="仿宋_GB2312" w:eastAsia="仿宋_GB2312"/>
          <w:b/>
          <w:bCs/>
          <w:color w:val="000000"/>
          <w:kern w:val="2"/>
          <w:sz w:val="32"/>
          <w:szCs w:val="32"/>
        </w:rPr>
        <w:t>国能e购智能云评审系统</w:t>
      </w:r>
    </w:p>
    <w:p>
      <w:pPr>
        <w:pStyle w:val="22"/>
        <w:numPr>
          <w:ilvl w:val="0"/>
          <w:numId w:val="1"/>
        </w:numPr>
        <w:ind w:firstLineChars="0"/>
        <w:rPr>
          <w:lang w:eastAsia="zh-Hans"/>
        </w:rPr>
      </w:pPr>
      <w:r>
        <w:rPr>
          <w:rFonts w:hint="eastAsia"/>
          <w:lang w:eastAsia="zh-Hans"/>
        </w:rPr>
        <w:t>所有组件增加”通用“、”专用“维度，并由管理员控制”通用组件“，进行批量更新范本</w:t>
      </w:r>
    </w:p>
    <w:p>
      <w:pPr>
        <w:pStyle w:val="22"/>
        <w:numPr>
          <w:ilvl w:val="0"/>
          <w:numId w:val="1"/>
        </w:numPr>
        <w:ind w:firstLineChars="0"/>
        <w:rPr>
          <w:lang w:eastAsia="zh-Hans"/>
        </w:rPr>
      </w:pPr>
      <w:r>
        <w:rPr>
          <w:rFonts w:hint="eastAsia"/>
          <w:lang w:eastAsia="zh-Hans"/>
        </w:rPr>
        <w:t>关键技术参数表要求增加必填校验</w:t>
      </w:r>
    </w:p>
    <w:p>
      <w:pPr>
        <w:pStyle w:val="22"/>
        <w:numPr>
          <w:ilvl w:val="0"/>
          <w:numId w:val="1"/>
        </w:numPr>
        <w:ind w:firstLineChars="0"/>
        <w:rPr>
          <w:lang w:eastAsia="zh-Hans"/>
        </w:rPr>
      </w:pPr>
      <w:r>
        <w:rPr>
          <w:rFonts w:hint="eastAsia"/>
          <w:lang w:eastAsia="zh-Hans"/>
        </w:rPr>
        <w:t>修复报价实例库下载文件名称不对的问题</w:t>
      </w:r>
    </w:p>
    <w:p>
      <w:pPr>
        <w:pStyle w:val="22"/>
        <w:numPr>
          <w:ilvl w:val="0"/>
          <w:numId w:val="1"/>
        </w:numPr>
        <w:ind w:firstLineChars="0"/>
        <w:rPr>
          <w:lang w:eastAsia="zh-Hans"/>
        </w:rPr>
      </w:pPr>
      <w:r>
        <w:rPr>
          <w:rFonts w:hint="eastAsia"/>
          <w:lang w:eastAsia="zh-Hans"/>
        </w:rPr>
        <w:t>修复业绩数量评分规则不对的问题</w:t>
      </w:r>
    </w:p>
    <w:p>
      <w:pPr>
        <w:pStyle w:val="22"/>
        <w:numPr>
          <w:ilvl w:val="0"/>
          <w:numId w:val="1"/>
        </w:numPr>
        <w:ind w:firstLineChars="0"/>
        <w:rPr>
          <w:lang w:eastAsia="zh-Hans"/>
        </w:rPr>
      </w:pPr>
      <w:r>
        <w:rPr>
          <w:rFonts w:hint="eastAsia"/>
          <w:lang w:eastAsia="zh-Hans"/>
        </w:rPr>
        <w:t>业绩合同、发票、用户证明文案位置从图片下方改为图片上方</w:t>
      </w:r>
    </w:p>
    <w:p>
      <w:pPr>
        <w:pStyle w:val="22"/>
        <w:numPr>
          <w:ilvl w:val="0"/>
          <w:numId w:val="1"/>
        </w:numPr>
        <w:ind w:firstLineChars="0"/>
        <w:rPr>
          <w:lang w:eastAsia="zh-Hans"/>
        </w:rPr>
      </w:pPr>
      <w:r>
        <w:rPr>
          <w:rFonts w:hint="eastAsia"/>
          <w:lang w:eastAsia="zh-Hans"/>
        </w:rPr>
        <w:t>发票上传支持多张图片的</w:t>
      </w:r>
      <w:r>
        <w:rPr>
          <w:lang w:eastAsia="zh-Hans"/>
        </w:rPr>
        <w:t>PDF</w:t>
      </w:r>
    </w:p>
    <w:p>
      <w:pPr>
        <w:pStyle w:val="22"/>
        <w:numPr>
          <w:ilvl w:val="0"/>
          <w:numId w:val="1"/>
        </w:numPr>
        <w:ind w:firstLineChars="0"/>
        <w:rPr>
          <w:lang w:eastAsia="zh-Hans"/>
        </w:rPr>
      </w:pPr>
      <w:r>
        <w:rPr>
          <w:rFonts w:hint="eastAsia"/>
          <w:lang w:eastAsia="zh-Hans"/>
        </w:rPr>
        <w:t>已创建的范本模型和范本技术文件中报价人须知下组件的属性开关设置默认关闭状态（重点提示开关除外）</w:t>
      </w:r>
    </w:p>
    <w:p>
      <w:pPr>
        <w:pStyle w:val="22"/>
        <w:numPr>
          <w:ilvl w:val="0"/>
          <w:numId w:val="1"/>
        </w:numPr>
        <w:ind w:firstLineChars="0"/>
        <w:rPr>
          <w:lang w:eastAsia="zh-Hans"/>
        </w:rPr>
      </w:pPr>
      <w:r>
        <w:rPr>
          <w:rFonts w:hint="eastAsia"/>
          <w:lang w:eastAsia="zh-Hans"/>
        </w:rPr>
        <w:t>修复采编显示文本类属性的问题</w:t>
      </w:r>
    </w:p>
    <w:p>
      <w:pPr>
        <w:pStyle w:val="22"/>
        <w:numPr>
          <w:ilvl w:val="0"/>
          <w:numId w:val="1"/>
        </w:numPr>
        <w:ind w:firstLineChars="0"/>
        <w:rPr>
          <w:lang w:eastAsia="zh-Hans"/>
        </w:rPr>
      </w:pPr>
      <w:r>
        <w:rPr>
          <w:rFonts w:hint="eastAsia"/>
          <w:lang w:eastAsia="zh-Hans"/>
        </w:rPr>
        <w:t>修复采编工程类计划工期表详情采购要求合同签订不回显的问题</w:t>
      </w:r>
    </w:p>
    <w:p>
      <w:pPr>
        <w:pStyle w:val="22"/>
        <w:numPr>
          <w:ilvl w:val="0"/>
          <w:numId w:val="1"/>
        </w:numPr>
        <w:ind w:firstLineChars="0"/>
        <w:rPr>
          <w:lang w:eastAsia="zh-Hans"/>
        </w:rPr>
      </w:pPr>
      <w:r>
        <w:rPr>
          <w:rFonts w:hint="eastAsia"/>
          <w:lang w:eastAsia="zh-Hans"/>
        </w:rPr>
        <w:t>修复物资基本要求表中付款比例显示无的问题</w:t>
      </w:r>
    </w:p>
    <w:p>
      <w:pPr>
        <w:pStyle w:val="22"/>
        <w:numPr>
          <w:ilvl w:val="0"/>
          <w:numId w:val="1"/>
        </w:numPr>
        <w:ind w:firstLineChars="0"/>
        <w:rPr>
          <w:lang w:eastAsia="zh-Hans"/>
        </w:rPr>
      </w:pPr>
      <w:r>
        <w:rPr>
          <w:rFonts w:hint="eastAsia"/>
          <w:lang w:eastAsia="zh-Hans"/>
        </w:rPr>
        <w:t>修复标准方案评分组件的内容在中间不显示的问题</w:t>
      </w:r>
    </w:p>
    <w:p>
      <w:pPr>
        <w:pStyle w:val="22"/>
        <w:numPr>
          <w:ilvl w:val="0"/>
          <w:numId w:val="1"/>
        </w:numPr>
        <w:ind w:firstLineChars="0"/>
        <w:rPr>
          <w:lang w:eastAsia="zh-Hans"/>
        </w:rPr>
      </w:pPr>
      <w:r>
        <w:rPr>
          <w:rFonts w:hint="eastAsia"/>
          <w:lang w:eastAsia="zh-Hans"/>
        </w:rPr>
        <w:t>修复关键技术参数表导入后再下载模版，缺少行项目编号，未添加物资信息时，导入右侧不显示物资信息的问题</w:t>
      </w:r>
    </w:p>
    <w:p>
      <w:pPr>
        <w:pStyle w:val="22"/>
        <w:numPr>
          <w:ilvl w:val="0"/>
          <w:numId w:val="1"/>
        </w:numPr>
        <w:ind w:firstLineChars="0"/>
        <w:rPr>
          <w:lang w:eastAsia="zh-Hans"/>
        </w:rPr>
      </w:pPr>
      <w:r>
        <w:rPr>
          <w:rFonts w:hint="eastAsia"/>
          <w:lang w:eastAsia="zh-Hans"/>
        </w:rPr>
        <w:t>修复询价单挂网信息多次同步，证照未进行</w:t>
      </w:r>
      <w:r>
        <w:rPr>
          <w:lang w:eastAsia="zh-Hans"/>
        </w:rPr>
        <w:t>ocr识别，评审结果出现多个待复核的问题</w:t>
      </w:r>
    </w:p>
    <w:p>
      <w:pPr>
        <w:pStyle w:val="22"/>
        <w:numPr>
          <w:ilvl w:val="0"/>
          <w:numId w:val="1"/>
        </w:numPr>
        <w:ind w:firstLineChars="0"/>
        <w:rPr>
          <w:lang w:eastAsia="zh-Hans"/>
        </w:rPr>
      </w:pPr>
      <w:r>
        <w:rPr>
          <w:rFonts w:hint="eastAsia"/>
          <w:lang w:eastAsia="zh-Hans"/>
        </w:rPr>
        <w:t>修复商务评分表行明细删除后，无法再次添加的问题</w:t>
      </w:r>
    </w:p>
    <w:p>
      <w:pPr>
        <w:pStyle w:val="22"/>
        <w:numPr>
          <w:ilvl w:val="0"/>
          <w:numId w:val="1"/>
        </w:numPr>
        <w:ind w:firstLineChars="0"/>
        <w:rPr>
          <w:lang w:eastAsia="zh-Hans"/>
        </w:rPr>
      </w:pPr>
      <w:r>
        <w:rPr>
          <w:rFonts w:hint="eastAsia"/>
          <w:lang w:eastAsia="zh-Hans"/>
        </w:rPr>
        <w:t>修复满足或优于评审内容未展示的问题</w:t>
      </w:r>
    </w:p>
    <w:p>
      <w:pPr>
        <w:pStyle w:val="22"/>
        <w:numPr>
          <w:ilvl w:val="0"/>
          <w:numId w:val="1"/>
        </w:numPr>
        <w:ind w:firstLineChars="0"/>
        <w:rPr>
          <w:lang w:eastAsia="zh-Hans"/>
        </w:rPr>
      </w:pPr>
      <w:r>
        <w:rPr>
          <w:rFonts w:hint="eastAsia"/>
          <w:lang w:eastAsia="zh-Hans"/>
        </w:rPr>
        <w:t>修复人员资质证图片过期的问题</w:t>
      </w:r>
    </w:p>
    <w:p>
      <w:pPr>
        <w:pStyle w:val="22"/>
        <w:numPr>
          <w:ilvl w:val="0"/>
          <w:numId w:val="1"/>
        </w:numPr>
        <w:ind w:firstLineChars="0"/>
        <w:rPr>
          <w:lang w:eastAsia="zh-Hans"/>
        </w:rPr>
      </w:pPr>
      <w:r>
        <w:rPr>
          <w:rFonts w:hint="eastAsia"/>
          <w:lang w:eastAsia="zh-Hans"/>
        </w:rPr>
        <w:t>修复评分提交缺少参数的问题</w:t>
      </w:r>
      <w:bookmarkStart w:id="0" w:name="_GoBack"/>
      <w:bookmarkEnd w:id="0"/>
    </w:p>
    <w:p>
      <w:pPr>
        <w:pStyle w:val="22"/>
        <w:numPr>
          <w:ilvl w:val="0"/>
          <w:numId w:val="1"/>
        </w:numPr>
        <w:ind w:firstLineChars="0"/>
        <w:rPr>
          <w:lang w:eastAsia="zh-Hans"/>
        </w:rPr>
      </w:pPr>
      <w:r>
        <w:rPr>
          <w:rFonts w:hint="eastAsia"/>
          <w:lang w:eastAsia="zh-Hans"/>
        </w:rPr>
        <w:t>运营后台组件库功能上线。</w:t>
      </w:r>
    </w:p>
    <w:p>
      <w:pPr>
        <w:pStyle w:val="4"/>
        <w:rPr>
          <w:rFonts w:hint="eastAsia" w:ascii="仿宋_GB2312" w:hAnsi="仿宋_GB2312" w:eastAsia="仿宋_GB2312"/>
          <w:b w:val="0"/>
          <w:bCs w:val="0"/>
          <w:color w:val="000000"/>
          <w:kern w:val="2"/>
          <w:sz w:val="32"/>
          <w:szCs w:val="32"/>
          <w:lang w:val="en-US" w:eastAsia="zh-CN"/>
        </w:rPr>
      </w:pPr>
    </w:p>
    <w:p>
      <w:pPr>
        <w:pStyle w:val="4"/>
        <w:jc w:val="right"/>
        <w:rPr>
          <w:rFonts w:hint="eastAsia" w:ascii="仿宋_GB2312" w:hAnsi="仿宋_GB2312" w:eastAsia="仿宋_GB2312" w:cs="Times New Roman"/>
          <w:b/>
          <w:bCs/>
          <w:color w:val="000000"/>
          <w:kern w:val="2"/>
          <w:sz w:val="32"/>
          <w:szCs w:val="32"/>
          <w:highlight w:val="none"/>
          <w:lang w:val="en-US" w:eastAsia="zh-CN"/>
        </w:rPr>
      </w:pPr>
      <w:r>
        <w:t>2024年01月18日星期</w:t>
      </w:r>
      <w:r>
        <w:rPr>
          <w:rFonts w:hint="eastAsia"/>
        </w:rPr>
        <w:t>四</w:t>
      </w: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E38A1"/>
    <w:multiLevelType w:val="multilevel"/>
    <w:tmpl w:val="264E38A1"/>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344FC6"/>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BF85D"/>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D22964"/>
    <w:rsid w:val="56F722EC"/>
    <w:rsid w:val="56FD9C3D"/>
    <w:rsid w:val="5707195E"/>
    <w:rsid w:val="57316F04"/>
    <w:rsid w:val="57392849"/>
    <w:rsid w:val="5748212E"/>
    <w:rsid w:val="574B4802"/>
    <w:rsid w:val="5775795C"/>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516B86"/>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84400DC"/>
    <w:rsid w:val="78556621"/>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5717BA"/>
    <w:rsid w:val="7E6F0862"/>
    <w:rsid w:val="7E6F60EB"/>
    <w:rsid w:val="7E942656"/>
    <w:rsid w:val="7EE956F2"/>
    <w:rsid w:val="7F014DC7"/>
    <w:rsid w:val="7F3218E1"/>
    <w:rsid w:val="7F4E25F9"/>
    <w:rsid w:val="7F5EF8B1"/>
    <w:rsid w:val="7F6B7EAD"/>
    <w:rsid w:val="7F6BF968"/>
    <w:rsid w:val="7F716A64"/>
    <w:rsid w:val="7F93455B"/>
    <w:rsid w:val="7FC140F3"/>
    <w:rsid w:val="7FCC5C17"/>
    <w:rsid w:val="7FE211DE"/>
    <w:rsid w:val="7FF609FC"/>
    <w:rsid w:val="7FFD6189"/>
    <w:rsid w:val="9BB6FCF7"/>
    <w:rsid w:val="F3AAD5AC"/>
    <w:rsid w:val="F97F3846"/>
    <w:rsid w:val="FF7D992F"/>
    <w:rsid w:val="FF975F4E"/>
    <w:rsid w:val="FFBE6014"/>
    <w:rsid w:val="FFEF66B4"/>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Char"/>
    <w:basedOn w:val="12"/>
    <w:link w:val="8"/>
    <w:qFormat/>
    <w:uiPriority w:val="0"/>
    <w:rPr>
      <w:rFonts w:ascii="仿宋_GB2312" w:hAnsi="Calibri" w:eastAsia="仿宋_GB2312"/>
      <w:color w:val="000000"/>
      <w:kern w:val="2"/>
      <w:sz w:val="18"/>
      <w:szCs w:val="18"/>
    </w:rPr>
  </w:style>
  <w:style w:type="character" w:customStyle="1" w:styleId="50">
    <w:name w:val="页脚 Char"/>
    <w:basedOn w:val="12"/>
    <w:link w:val="7"/>
    <w:qFormat/>
    <w:uiPriority w:val="0"/>
    <w:rPr>
      <w:rFonts w:ascii="仿宋_GB2312" w:hAnsi="Calibri" w:eastAsia="仿宋_GB2312"/>
      <w:color w:val="000000"/>
      <w:kern w:val="2"/>
      <w:sz w:val="18"/>
      <w:szCs w:val="18"/>
    </w:rPr>
  </w:style>
  <w:style w:type="character" w:customStyle="1" w:styleId="51">
    <w:name w:val="标题 1 Char"/>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3</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2023-03-31T08:35:00Z</dcterms:created>
  <dc:creator>jxp</dc:creator>
  <cp:lastModifiedBy>商务网-陆晓敏</cp:lastModifiedBy>
  <dcterms:modified xsi:type="dcterms:W3CDTF">2024-01-18T06:51:39Z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