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（2023.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31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国能e购将于2023年</w:t>
      </w:r>
      <w:r>
        <w:rPr>
          <w:rFonts w:hint="eastAsia"/>
          <w:szCs w:val="32"/>
          <w:lang w:val="en-US" w:eastAsia="zh-CN"/>
        </w:rPr>
        <w:t>10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31</w:t>
      </w:r>
      <w:r>
        <w:rPr>
          <w:rFonts w:hint="eastAsia"/>
          <w:szCs w:val="32"/>
        </w:rPr>
        <w:t>日19:00进行发版，本次发版的主要内容如下：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国能e购商城功能优化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1.国能e购账号和权限功能改造</w:t>
      </w:r>
    </w:p>
    <w:p>
      <w:pPr>
        <w:ind w:firstLine="640" w:firstLineChars="200"/>
        <w:rPr>
          <w:rFonts w:hint="default" w:ascii="仿宋_GB2312" w:hAnsi="黑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lang w:val="en-US" w:eastAsia="zh-CN"/>
        </w:rPr>
        <w:t>（1）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主账号新增用户时，需要对工号唯一性进行校验</w:t>
      </w:r>
      <w:r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pStyle w:val="4"/>
        <w:rPr>
          <w:rFonts w:hint="default"/>
          <w:lang w:val="en-US" w:eastAsia="zh-CN"/>
        </w:rPr>
      </w:pPr>
      <w:r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  <w:t>（2）</w:t>
      </w:r>
      <w:r>
        <w:rPr>
          <w:rFonts w:hint="default"/>
          <w:lang w:val="en-US" w:eastAsia="zh-CN"/>
        </w:rPr>
        <w:t>主账号注册新用户或调整用户角色权限时，报送本单位领导完成两级审批。</w:t>
      </w:r>
    </w:p>
    <w:p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</w:t>
      </w:r>
      <w:r>
        <w:rPr>
          <w:rFonts w:hint="default"/>
          <w:lang w:val="en-US" w:eastAsia="zh-CN"/>
        </w:rPr>
        <w:t>增加主账号审批页面（待办处理驳回单据）</w:t>
      </w:r>
      <w:r>
        <w:rPr>
          <w:rFonts w:hint="eastAsia"/>
          <w:lang w:val="en-US" w:eastAsia="zh-CN"/>
        </w:rPr>
        <w:t>。</w:t>
      </w: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（4）增加</w:t>
      </w:r>
      <w:r>
        <w:rPr>
          <w:rFonts w:hint="default"/>
          <w:lang w:val="en-US" w:eastAsia="zh-CN"/>
        </w:rPr>
        <w:t>可点击角色展开权限清单</w:t>
      </w:r>
      <w:r>
        <w:rPr>
          <w:rFonts w:hint="eastAsia"/>
          <w:lang w:val="en-US" w:eastAsia="zh-CN"/>
        </w:rPr>
        <w:t>功能。</w:t>
      </w:r>
    </w:p>
    <w:p>
      <w:pPr>
        <w:pStyle w:val="4"/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  <w:t>（5）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用户登录时对工号进行</w:t>
      </w:r>
      <w:r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  <w:t>有效性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校验</w:t>
      </w:r>
      <w:r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pStyle w:val="4"/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  <w:t>（6）运营后台创建用户时，可增加白名单用户标签。</w:t>
      </w:r>
    </w:p>
    <w:p>
      <w:pPr>
        <w:pStyle w:val="4"/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  <w:t>（7）运营后台可创建外部、测试及临时账户。</w:t>
      </w:r>
    </w:p>
    <w:p>
      <w:pPr>
        <w:ind w:firstLine="640" w:firstLineChars="200"/>
        <w:rPr>
          <w:rFonts w:hint="default" w:ascii="仿宋_GB2312" w:hAnsi="黑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  <w:t>（8）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75天、85天未登录的用户，分别进行两次短信提醒</w:t>
      </w:r>
      <w:r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  <w:t>。9.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超过90天未登录的用户自动停用。</w:t>
      </w:r>
    </w:p>
    <w:p>
      <w:pPr>
        <w:ind w:firstLine="640" w:firstLineChars="200"/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2.专区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订单详情页点击【流转信息】按钮，</w:t>
      </w: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页面展示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节点增加到货确认</w:t>
      </w:r>
      <w:r>
        <w:rPr>
          <w:rFonts w:hint="eastAsia" w:hAnsi="黑体" w:cs="Times New Roman"/>
          <w:b w:val="0"/>
          <w:bCs w:val="0"/>
          <w:sz w:val="32"/>
          <w:szCs w:val="32"/>
          <w:lang w:val="en-US" w:eastAsia="zh-CN"/>
        </w:rPr>
        <w:t>信息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3.商城商品超量监控功能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（1）自营专区增加“采购方式”、“协议是否有超预估量措施”选项。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（2）对“采购方式”为邀请招标、公开招标、询比价、竞争性谈判，下单时增加“可销售量”判断，数量不足时不支持下单。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（3）单品超量且协议中未约束超预估量措施，系统执行商品自动下架。若单品超量，但协议约束了超预估量措施，商品不自动下架，仍允许下单销售。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（4）新增菜单：商品超量下架查询。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（5）菜单“商城协议查询”中，增加“协议执行量预警”页签、“商品预警”页签、“单一来源预警”页签。支持从协议维度、商品维度进行超量查询预警。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（6）商城商品详情页，增加“可销售量”显示。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（7）对“采购方式”为邀请招标、公开招标、询比价、竞争性谈判、单一来源，增加超量提醒短信、站内信。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（8）临期协议定义由原90天，改为120天。即到期前120天的协议，显示在“商城协议查询”临期协议页签中。</w:t>
      </w:r>
    </w:p>
    <w:p>
      <w:pPr>
        <w:pStyle w:val="4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商品销售价格异议功能</w:t>
      </w:r>
    </w:p>
    <w:p>
      <w:pPr>
        <w:pStyle w:val="4"/>
        <w:numPr>
          <w:ilvl w:val="0"/>
          <w:numId w:val="3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协同运营单增加新问题类型“商品销售价格异议”。</w:t>
      </w:r>
    </w:p>
    <w:p>
      <w:pPr>
        <w:pStyle w:val="4"/>
        <w:numPr>
          <w:ilvl w:val="0"/>
          <w:numId w:val="3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该问题类型由采购单位发起，经营主体受理，并进行核实反馈。业务监督部最终审核，审核通过流程结束。</w:t>
      </w:r>
    </w:p>
    <w:p>
      <w:pPr>
        <w:pStyle w:val="4"/>
        <w:numPr>
          <w:ilvl w:val="0"/>
          <w:numId w:val="3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用户通过商城商品详情页新增加的“价格异议”入口进行提报。</w:t>
      </w:r>
    </w:p>
    <w:p>
      <w:pPr>
        <w:pStyle w:val="4"/>
        <w:numPr>
          <w:ilvl w:val="0"/>
          <w:numId w:val="3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经营主体对收到的商品价格异议单，2个工作日内完成核实处理并反馈采购用户。</w:t>
      </w:r>
    </w:p>
    <w:p>
      <w:pPr>
        <w:pStyle w:val="4"/>
        <w:numPr>
          <w:ilvl w:val="0"/>
          <w:numId w:val="3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新增菜单“</w:t>
      </w:r>
      <w:r>
        <w:rPr>
          <w:rFonts w:hint="eastAsia" w:cstheme="minorBidi"/>
          <w:kern w:val="2"/>
          <w:sz w:val="30"/>
          <w:szCs w:val="24"/>
          <w:lang w:val="en-US" w:eastAsia="zh-CN" w:bidi="ar-SA"/>
        </w:rPr>
        <w:t>监督管理部门审核</w:t>
      </w:r>
      <w:r>
        <w:rPr>
          <w:rFonts w:hint="eastAsia"/>
          <w:lang w:val="en-US" w:eastAsia="zh-CN"/>
        </w:rPr>
        <w:t>”，监督管理部门对经营主体复核后的价格异议单进行审核。</w:t>
      </w:r>
    </w:p>
    <w:p>
      <w:pPr>
        <w:pStyle w:val="4"/>
        <w:numPr>
          <w:ilvl w:val="0"/>
          <w:numId w:val="3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新增菜单“协同运营单查询”，用于经营主体、服务主体、结算主体及物资公司管理部门对协同运营单进行查询、导出操作。</w:t>
      </w:r>
    </w:p>
    <w:p>
      <w:pPr>
        <w:pStyle w:val="4"/>
        <w:numPr>
          <w:ilvl w:val="0"/>
          <w:numId w:val="3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增加手机短信提醒功能。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firstLine="640" w:firstLineChars="200"/>
        <w:jc w:val="left"/>
        <w:textAlignment w:val="auto"/>
        <w:rPr>
          <w:rFonts w:hint="eastAsia" w:cs="仿宋_GB2312"/>
          <w:color w:val="000000"/>
          <w:sz w:val="32"/>
          <w:szCs w:val="32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实现开票通知单自动区分多种发票类型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firstLine="640" w:firstLineChars="200"/>
        <w:jc w:val="left"/>
        <w:textAlignment w:val="auto"/>
        <w:rPr>
          <w:rFonts w:hint="eastAsia" w:cs="仿宋_GB2312"/>
          <w:color w:val="000000"/>
          <w:sz w:val="32"/>
          <w:szCs w:val="32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lang w:val="en-US" w:eastAsia="zh-CN"/>
        </w:rPr>
        <w:t>（1）专区协议维护详情页、协议变更类型为“其他变更”的变更详情页“结算主体发票信息”设为必填项，保存时增加非空校验。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firstLine="640" w:firstLineChars="200"/>
        <w:jc w:val="left"/>
        <w:textAlignment w:val="auto"/>
        <w:rPr>
          <w:rFonts w:hint="eastAsia" w:cs="仿宋_GB2312"/>
          <w:color w:val="000000"/>
          <w:sz w:val="32"/>
          <w:szCs w:val="32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lang w:val="en-US" w:eastAsia="zh-CN"/>
        </w:rPr>
        <w:t>（2）订单验收后重新获取结算主体最新发票信息传结算中心。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firstLine="640" w:firstLineChars="200"/>
        <w:jc w:val="left"/>
        <w:textAlignment w:val="auto"/>
        <w:rPr>
          <w:rFonts w:hint="eastAsia" w:cs="仿宋_GB2312"/>
          <w:color w:val="000000"/>
          <w:sz w:val="32"/>
          <w:szCs w:val="32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lang w:val="en-US" w:eastAsia="zh-CN"/>
        </w:rPr>
        <w:t>（3）结算中心-配送业务收票入库-通知开票，提交开票通知时增加校验“同一供应商不同发票类型的验收单不允许合并提交开票通知”，提交开票通知时结算人员可根据实际情况修改对应的发票信息。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firstLine="640" w:firstLineChars="200"/>
        <w:jc w:val="left"/>
        <w:textAlignment w:val="auto"/>
        <w:rPr>
          <w:rFonts w:hint="eastAsia" w:cs="仿宋_GB2312"/>
          <w:color w:val="000000"/>
          <w:sz w:val="32"/>
          <w:szCs w:val="32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lang w:val="en-US" w:eastAsia="zh-CN"/>
        </w:rPr>
        <w:t>6.协同平台支持结算主体乐企直连开具成品油数电票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firstLine="640" w:firstLineChars="200"/>
        <w:jc w:val="left"/>
        <w:textAlignment w:val="auto"/>
        <w:rPr>
          <w:rFonts w:hint="eastAsia" w:cs="仿宋_GB2312"/>
          <w:color w:val="000000"/>
          <w:sz w:val="32"/>
          <w:szCs w:val="32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lang w:val="en-US" w:eastAsia="zh-CN"/>
        </w:rPr>
        <w:t>（1）支持国能供应链内蒙古有限公司在协同平台“销项开票-待开数据”页面进行成品油发票开具、红冲。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firstLine="640" w:firstLineChars="200"/>
        <w:jc w:val="left"/>
        <w:textAlignment w:val="auto"/>
        <w:rPr>
          <w:rFonts w:hint="eastAsia" w:cs="仿宋_GB2312"/>
          <w:color w:val="000000"/>
          <w:sz w:val="32"/>
          <w:szCs w:val="32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lang w:val="en-US" w:eastAsia="zh-CN"/>
        </w:rPr>
        <w:t>（2）支持国能供应链内蒙古有限公司在协同平台“乐企接入管理-成品油库存”页面进行成品油库存下载、回退。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  <w:t>国能e购数据报表类优化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firstLine="640" w:firstLineChars="200"/>
        <w:jc w:val="left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外部市场拓展情况表优化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（1）数据分析新增“外部市场拓展情况表”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各单位可查看、导出各月度汇总的拓展外部用户数量、非招标交易、电商交易数据，并支持明细数据下载。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firstLine="640" w:firstLineChars="200"/>
        <w:jc w:val="left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（2）e购报表中心“外部市场拓展情况表”停用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报表中心-集团公司-外部市场拓展情况表、报表中心-采购机构-外部市场拓展情况表停用。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2.开票跟踪统计报表（经营主体）权限划分规则变更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firstLine="640" w:firstLineChars="200"/>
        <w:jc w:val="left"/>
        <w:textAlignment w:val="auto"/>
        <w:rPr>
          <w:rFonts w:hint="eastAsia" w:cs="仿宋_GB2312"/>
          <w:color w:val="000000"/>
          <w:sz w:val="32"/>
          <w:szCs w:val="32"/>
          <w:lang w:val="en-US" w:eastAsia="zh-CN"/>
        </w:rPr>
      </w:pPr>
      <w:r>
        <w:rPr>
          <w:rFonts w:hint="default" w:cs="仿宋_GB2312"/>
          <w:color w:val="000000"/>
          <w:sz w:val="32"/>
          <w:szCs w:val="32"/>
          <w:lang w:val="en-US" w:eastAsia="zh-CN"/>
        </w:rPr>
        <w:t>订单管理-开票跟踪统计报表（经营主体）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数据隔离规则优化，经改造后，经营主体可查看715模式之后铺货部门下数据。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eastAsia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  <w:t>国能e购非招标功能优化</w:t>
      </w:r>
    </w:p>
    <w:p>
      <w:pPr>
        <w:numPr>
          <w:ilvl w:val="0"/>
          <w:numId w:val="0"/>
        </w:numPr>
        <w:ind w:left="640" w:leftChars="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1.供应商失信提报优化</w:t>
      </w:r>
    </w:p>
    <w:p>
      <w:pPr>
        <w:pStyle w:val="4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（1）在</w:t>
      </w:r>
      <w:r>
        <w:rPr>
          <w:rFonts w:hint="default" w:cs="Times New Roman"/>
          <w:lang w:val="en-US" w:eastAsia="zh-CN"/>
        </w:rPr>
        <w:t>采购专责首次上报失信行为时，系统按规则</w:t>
      </w:r>
      <w:r>
        <w:rPr>
          <w:rFonts w:hint="eastAsia" w:cs="Times New Roman"/>
          <w:lang w:val="en-US" w:eastAsia="zh-CN"/>
        </w:rPr>
        <w:t>自动</w:t>
      </w:r>
      <w:r>
        <w:rPr>
          <w:rFonts w:hint="default" w:cs="Times New Roman"/>
          <w:lang w:val="en-US" w:eastAsia="zh-CN"/>
        </w:rPr>
        <w:t>生成</w:t>
      </w:r>
      <w:r>
        <w:rPr>
          <w:rFonts w:hint="eastAsia" w:cs="Times New Roman"/>
          <w:lang w:val="en-US" w:eastAsia="zh-CN"/>
        </w:rPr>
        <w:t>“</w:t>
      </w:r>
      <w:r>
        <w:rPr>
          <w:rFonts w:hint="default" w:cs="Times New Roman"/>
          <w:lang w:val="en-US" w:eastAsia="zh-CN"/>
        </w:rPr>
        <w:t>失信行为处置申请单</w:t>
      </w:r>
      <w:r>
        <w:rPr>
          <w:rFonts w:hint="eastAsia" w:cs="Times New Roman"/>
          <w:lang w:val="en-US" w:eastAsia="zh-CN"/>
        </w:rPr>
        <w:t>”</w:t>
      </w:r>
      <w:r>
        <w:rPr>
          <w:rFonts w:hint="default" w:cs="Times New Roman"/>
          <w:lang w:val="en-US" w:eastAsia="zh-CN"/>
        </w:rPr>
        <w:t>；</w:t>
      </w:r>
      <w:r>
        <w:rPr>
          <w:rFonts w:hint="eastAsia" w:cs="Times New Roman"/>
          <w:lang w:val="en-US" w:eastAsia="zh-CN"/>
        </w:rPr>
        <w:t>失信专责和失信主管可下载并修改“失信行为处置申请单”；失信主管首次审核通过，“失信行为处置申请单”转换为pdf格式，并加盖单据发生单位公章。</w:t>
      </w:r>
    </w:p>
    <w:p>
      <w:pPr>
        <w:pStyle w:val="4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（2）失信行为复核（支持中心）页面新增“标记上会”及“导出上会材料”功能。</w:t>
      </w:r>
    </w:p>
    <w:p>
      <w:pPr>
        <w:pStyle w:val="4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（3）综合查询可查看主单的【失信行为处置申请单】。</w:t>
      </w:r>
    </w:p>
    <w:p>
      <w:pPr>
        <w:pStyle w:val="4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（4）供应商管理-供应商综合查询-综合信息查询页新增“企业类型”字段显示，去除“供应商类别”展示。</w:t>
      </w:r>
    </w:p>
    <w:p>
      <w:pPr>
        <w:pStyle w:val="4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（5）预警预冻结“制度依据”更新为：“《国家能源集团供应商管理办法（试行）》（国家能源制度〔2023〕55号）第六十九条第四款：采购活动过程中围标串标，采取不正当手段排挤、限制其他人参与投标/报价，破坏公平竞争。”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2.与SRM建立失信供应商数据自动核查校验机制</w:t>
      </w:r>
    </w:p>
    <w:p>
      <w:pPr>
        <w:pStyle w:val="4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国能e购侧通过</w:t>
      </w:r>
      <w:r>
        <w:rPr>
          <w:rFonts w:hint="eastAsia"/>
          <w:lang w:val="en-US" w:eastAsia="zh-CN"/>
        </w:rPr>
        <w:t>接口每天</w:t>
      </w:r>
      <w:r>
        <w:rPr>
          <w:rFonts w:hint="default"/>
          <w:lang w:val="en-US" w:eastAsia="zh-CN"/>
        </w:rPr>
        <w:t>将提报单据数量、接收审批结果数量、失信处置名单供应商数量、重点关注名单供应商数量等信息</w:t>
      </w:r>
      <w:r>
        <w:rPr>
          <w:rFonts w:hint="eastAsia"/>
          <w:lang w:val="en-US" w:eastAsia="zh-CN"/>
        </w:rPr>
        <w:t>定时</w:t>
      </w:r>
      <w:r>
        <w:rPr>
          <w:rFonts w:hint="default"/>
          <w:lang w:val="en-US" w:eastAsia="zh-CN"/>
        </w:rPr>
        <w:t>传输给SRM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国能e购侧通过</w:t>
      </w:r>
      <w:r>
        <w:rPr>
          <w:rFonts w:hint="eastAsia"/>
          <w:lang w:val="en-US" w:eastAsia="zh-CN"/>
        </w:rPr>
        <w:t>接口</w:t>
      </w:r>
      <w:r>
        <w:rPr>
          <w:rFonts w:hint="default"/>
          <w:lang w:val="en-US" w:eastAsia="zh-CN"/>
        </w:rPr>
        <w:t>接收SRM推送的失信数据统计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ind w:left="640" w:leftChars="0"/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3.中数智汇企业综合信息查询服务停用适配</w:t>
      </w:r>
    </w:p>
    <w:p>
      <w:pPr>
        <w:pStyle w:val="4"/>
        <w:rPr>
          <w:rFonts w:hint="eastAsia" w:cs="Times New Roman"/>
          <w:lang w:val="en-US" w:eastAsia="zh-CN"/>
        </w:rPr>
      </w:pPr>
      <w:r>
        <w:rPr>
          <w:rFonts w:hint="default" w:cs="Times New Roman"/>
          <w:lang w:val="en-US" w:eastAsia="zh-CN"/>
        </w:rPr>
        <w:t>由于后续供应商注册统一走生态协作平台，且与中数智汇合同到期，故中数智汇所提供的企业综合信息查询服务将在10月底停用，</w:t>
      </w:r>
      <w:r>
        <w:rPr>
          <w:rFonts w:hint="eastAsia" w:cs="Times New Roman"/>
          <w:lang w:val="en-US" w:eastAsia="zh-CN"/>
        </w:rPr>
        <w:t>为避免影响业务，</w:t>
      </w:r>
      <w:r>
        <w:rPr>
          <w:rFonts w:hint="default" w:cs="Times New Roman"/>
          <w:lang w:val="en-US" w:eastAsia="zh-CN"/>
        </w:rPr>
        <w:t>e购会员中心对停止服务调用后作出适配</w:t>
      </w:r>
      <w:r>
        <w:rPr>
          <w:rFonts w:hint="eastAsia" w:cs="Times New Roman"/>
          <w:lang w:val="en-US" w:eastAsia="zh-CN"/>
        </w:rPr>
        <w:t>。</w:t>
      </w:r>
    </w:p>
    <w:p>
      <w:pPr>
        <w:numPr>
          <w:ilvl w:val="0"/>
          <w:numId w:val="0"/>
        </w:numPr>
        <w:ind w:left="640" w:leftChars="0"/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4.供应商咨询待答疑短信提醒相应采购专责</w:t>
      </w:r>
    </w:p>
    <w:p>
      <w:pPr>
        <w:pStyle w:val="4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供应商在针对项目提交“咨询”成功之后，发送短信通知到该项目对应的采购专责。</w:t>
      </w:r>
    </w:p>
    <w:p>
      <w:pPr>
        <w:numPr>
          <w:ilvl w:val="0"/>
          <w:numId w:val="0"/>
        </w:numPr>
        <w:ind w:left="640" w:leftChars="0"/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  <w:t>物资类评审报告单一来源增加MDM物料编码</w:t>
      </w:r>
    </w:p>
    <w:p>
      <w:pPr>
        <w:pStyle w:val="4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在整体评审页签下，点击“价格调整”，明细评审页面中，“物料名称”前增加“MDM物料编码”显示；点击“导出”，导出的excel表里，“物料名称”前增加“MDM物料编码”。</w:t>
      </w:r>
    </w:p>
    <w:p>
      <w:pPr>
        <w:numPr>
          <w:ilvl w:val="0"/>
          <w:numId w:val="0"/>
        </w:numPr>
        <w:ind w:left="640" w:leftChars="0"/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6.智能云评审e购侧修复如下问题</w:t>
      </w:r>
    </w:p>
    <w:p>
      <w:pPr>
        <w:pStyle w:val="4"/>
        <w:rPr>
          <w:rFonts w:hint="eastAsia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cs="Times New Roman"/>
          <w:lang w:val="en-US" w:eastAsia="zh-CN"/>
        </w:rPr>
        <w:t>（1）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非二期试点单位，</w:t>
      </w:r>
      <w:r>
        <w:rPr>
          <w:rFonts w:hint="eastAsia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10.18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发版前评审因素未编写完整，发版后无法提交挂网</w:t>
      </w:r>
      <w:r>
        <w:rPr>
          <w:rFonts w:hint="eastAsia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。</w:t>
      </w:r>
      <w:bookmarkStart w:id="0" w:name="_GoBack"/>
      <w:bookmarkEnd w:id="0"/>
    </w:p>
    <w:p>
      <w:pPr>
        <w:pStyle w:val="4"/>
        <w:rPr>
          <w:rFonts w:hint="eastAsia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cs="Times New Roman"/>
          <w:lang w:val="en-US" w:eastAsia="zh-CN"/>
        </w:rPr>
        <w:t>（2）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跨境公司的国际标采购计划，远程评审配置表映射错了采购机构，导致跨境的计划走了二期。</w:t>
      </w:r>
    </w:p>
    <w:p>
      <w:pPr>
        <w:pStyle w:val="4"/>
        <w:rPr>
          <w:rFonts w:hint="eastAsia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cs="Times New Roman"/>
          <w:lang w:val="en-US" w:eastAsia="zh-CN"/>
        </w:rPr>
        <w:t>（3）</w:t>
      </w:r>
      <w:r>
        <w:rPr>
          <w:rFonts w:hint="eastAsia" w:ascii="仿宋_GB2312" w:eastAsia="仿宋_GB2312" w:cs="仿宋_GB2312" w:hAnsiTheme="minorHAnsi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采购策划，成交服务费为0时，未展示成交服务费率调整附件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、调整说明。</w:t>
      </w:r>
    </w:p>
    <w:p>
      <w:pPr>
        <w:pStyle w:val="4"/>
        <w:rPr>
          <w:rFonts w:hint="eastAsia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cs="Times New Roman"/>
          <w:lang w:val="en-US" w:eastAsia="zh-CN"/>
        </w:rPr>
        <w:t>（4）</w:t>
      </w:r>
      <w:r>
        <w:rPr>
          <w:rFonts w:hint="eastAsia" w:ascii="仿宋_GB2312" w:eastAsia="仿宋_GB2312" w:cs="仿宋_GB2312" w:hAnsiTheme="minorHAnsi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2个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采购</w:t>
      </w:r>
      <w:r>
        <w:rPr>
          <w:rFonts w:hint="eastAsia" w:ascii="仿宋_GB2312" w:eastAsia="仿宋_GB2312" w:cs="仿宋_GB2312" w:hAnsiTheme="minorHAnsi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计划打包单位相同，一个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计划</w:t>
      </w:r>
      <w:r>
        <w:rPr>
          <w:rFonts w:hint="eastAsia" w:ascii="仿宋_GB2312" w:eastAsia="仿宋_GB2312" w:cs="仿宋_GB2312" w:hAnsiTheme="minorHAnsi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走一期另一个走二期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kern w:val="2"/>
          <w:sz w:val="32"/>
          <w:szCs w:val="32"/>
          <w:vertAlign w:val="baseline"/>
          <w:lang w:val="en-US" w:eastAsia="zh-CN" w:bidi="ar-SA"/>
        </w:rPr>
        <w:t>。</w:t>
      </w:r>
    </w:p>
    <w:p>
      <w:pPr>
        <w:pStyle w:val="4"/>
        <w:rPr>
          <w:rFonts w:hint="eastAsia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cs="Times New Roman"/>
          <w:lang w:val="en-US" w:eastAsia="zh-CN"/>
        </w:rPr>
        <w:t>（5）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二期采购策划阶段，讯飞反写报价人资格条件字段报错。</w:t>
      </w:r>
    </w:p>
    <w:p>
      <w:pPr>
        <w:pStyle w:val="4"/>
        <w:rPr>
          <w:rFonts w:hint="eastAsia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cs="Times New Roman"/>
          <w:lang w:val="en-US" w:eastAsia="zh-CN"/>
        </w:rPr>
        <w:t>（6）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采购文件编制阶段，先智能评审在线编辑采购文件，后非智能评审手动上传文件，采购策划阶段会展示在线编辑的采购文件。</w:t>
      </w:r>
    </w:p>
    <w:p>
      <w:pPr>
        <w:pStyle w:val="4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cs="Times New Roman"/>
          <w:lang w:val="en-US" w:eastAsia="zh-CN"/>
        </w:rPr>
        <w:t>（7）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提交评审后评审中心没有待评审项目。</w:t>
      </w:r>
    </w:p>
    <w:p>
      <w:pPr>
        <w:pStyle w:val="4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cs="Times New Roman"/>
          <w:lang w:val="en-US" w:eastAsia="zh-CN"/>
        </w:rPr>
        <w:t>（8）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询价单名称中有“/”时，多次保存重复生成采购文件。</w:t>
      </w:r>
    </w:p>
    <w:p>
      <w:pPr>
        <w:pStyle w:val="4"/>
        <w:rPr>
          <w:rFonts w:hint="default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（9）取消“公司关系-主要负责人”的预冻结逻辑。</w:t>
      </w:r>
    </w:p>
    <w:p>
      <w:pPr>
        <w:pStyle w:val="4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（10）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询价采购二期评审类项目，询价中心提交评审时，若有红色预警，需要校验是否生成预冻结。</w:t>
      </w:r>
    </w:p>
    <w:p>
      <w:pPr>
        <w:pStyle w:val="4"/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（11）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优化讯飞采购文件版本号为空时的提示文案。</w:t>
      </w:r>
    </w:p>
    <w:p>
      <w:pPr>
        <w:pStyle w:val="4"/>
        <w:rPr>
          <w:rFonts w:hint="eastAsia" w:cs="Times New Roman"/>
          <w:lang w:val="en-US" w:eastAsia="zh-CN"/>
        </w:rPr>
      </w:pP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  <w:t>员工大集优化</w:t>
      </w:r>
    </w:p>
    <w:p>
      <w:pPr>
        <w:shd w:val="clear"/>
        <w:rPr>
          <w:rFonts w:hint="eastAsia" w:ascii="仿宋_GB2312" w:hAnsi="仿宋_GB2312" w:eastAsia="仿宋_GB2312" w:cs="仿宋_GB2312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1.上游JS单据：</w:t>
      </w:r>
      <w:r>
        <w:rPr>
          <w:rFonts w:hint="eastAsia" w:ascii="仿宋_GB2312" w:hAnsi="仿宋_GB2312" w:eastAsia="仿宋_GB2312" w:cs="仿宋_GB2312"/>
          <w:sz w:val="24"/>
          <w:szCs w:val="32"/>
          <w:highlight w:val="none"/>
        </w:rPr>
        <w:t xml:space="preserve"> </w:t>
      </w:r>
    </w:p>
    <w:p>
      <w:pPr>
        <w:shd w:val="clea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京东对账单商品税率取京东上架商品税率，要求完全相同。</w:t>
      </w:r>
    </w:p>
    <w:p>
      <w:pPr>
        <w:shd w:val="clea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0"/>
          <w:sz w:val="32"/>
          <w:szCs w:val="32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测试目前为按不同税率推报账单，需要修改为按对账单推报账单，每条对账单每期对账推一条报账入库采购结算单。</w:t>
      </w:r>
    </w:p>
    <w:p>
      <w:pPr>
        <w:shd w:val="clea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0"/>
          <w:sz w:val="32"/>
          <w:szCs w:val="32"/>
          <w:lang w:val="en-US" w:eastAsia="zh-CN" w:bidi="ar-SA"/>
        </w:rPr>
        <w:t>（3）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目前为按照订单推送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修改为上游费用明细按照发票不同税率及专普票推送，至多四条。普票或免税订单按照含税金额推送。专票按照不同税率推送。</w:t>
      </w:r>
    </w:p>
    <w:p>
      <w:pPr>
        <w:shd w:val="clea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0"/>
          <w:sz w:val="32"/>
          <w:szCs w:val="32"/>
          <w:lang w:val="en-US" w:eastAsia="zh-CN" w:bidi="ar-SA"/>
        </w:rPr>
        <w:t>（4）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上游JS单据，费用类型修改为JS1350006 库存商品-其他，费用事由修改为：结算员工大集+供应商名称+物资款。</w:t>
      </w:r>
    </w:p>
    <w:p>
      <w:pPr>
        <w:shd w:val="clea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0"/>
          <w:sz w:val="32"/>
          <w:szCs w:val="32"/>
          <w:lang w:val="en-US" w:eastAsia="zh-CN" w:bidi="ar-SA"/>
        </w:rPr>
        <w:t>（5）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上游JS单据税码取值错误，税码应取商品税率，不是商品的税收分类编码。</w:t>
      </w:r>
    </w:p>
    <w:p>
      <w:pPr>
        <w:shd w:val="clea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0"/>
          <w:sz w:val="32"/>
          <w:szCs w:val="32"/>
          <w:lang w:val="en-US" w:eastAsia="zh-CN" w:bidi="ar-SA"/>
        </w:rPr>
        <w:t>（6）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供应商或债权人的帐号：对应供应商名称</w:t>
      </w:r>
    </w:p>
    <w:p>
      <w:pPr>
        <w:shd w:val="clea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0"/>
          <w:sz w:val="32"/>
          <w:szCs w:val="32"/>
          <w:lang w:val="en-US" w:eastAsia="zh-CN" w:bidi="ar-SA"/>
        </w:rPr>
        <w:t>（7）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开票通知单增加导出功能，在首页增加单条对账单对应金额。</w:t>
      </w:r>
    </w:p>
    <w:p>
      <w:pPr>
        <w:shd w:val="clea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2.下游SR单据：</w:t>
      </w:r>
    </w:p>
    <w:p>
      <w:pPr>
        <w:shd w:val="clea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0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目前为按照订单推送，需改为按照开票不同税率推送费用明细。出库是否计税，应为是，不含税金额及税额对应发票相应金额。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480" w:firstLineChars="200"/>
        <w:jc w:val="left"/>
        <w:textAlignment w:val="auto"/>
        <w:rPr>
          <w:rFonts w:hint="default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480" w:firstLineChars="200"/>
        <w:jc w:val="left"/>
        <w:textAlignment w:val="auto"/>
        <w:rPr>
          <w:rFonts w:hint="default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firstLine="480" w:firstLineChars="200"/>
        <w:jc w:val="left"/>
        <w:textAlignment w:val="auto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4EA4D2"/>
    <w:multiLevelType w:val="singleLevel"/>
    <w:tmpl w:val="DE4EA4D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1818E382"/>
    <w:multiLevelType w:val="singleLevel"/>
    <w:tmpl w:val="1818E38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1BF386B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01543"/>
    <w:rsid w:val="07737AAD"/>
    <w:rsid w:val="078870A8"/>
    <w:rsid w:val="07AB1B56"/>
    <w:rsid w:val="07AF6AAA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53DD3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413ECD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42D0C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56AFC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460484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3C6C87"/>
    <w:rsid w:val="1D615A72"/>
    <w:rsid w:val="1D7039FF"/>
    <w:rsid w:val="1D80478E"/>
    <w:rsid w:val="1DA36908"/>
    <w:rsid w:val="1DC26B60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305202"/>
    <w:rsid w:val="1F435A7C"/>
    <w:rsid w:val="1F4B590F"/>
    <w:rsid w:val="1F4F56CD"/>
    <w:rsid w:val="1F780B84"/>
    <w:rsid w:val="1FAA6A00"/>
    <w:rsid w:val="1FB06610"/>
    <w:rsid w:val="1FCD3784"/>
    <w:rsid w:val="2006602D"/>
    <w:rsid w:val="200E57AC"/>
    <w:rsid w:val="20100DC7"/>
    <w:rsid w:val="201523AC"/>
    <w:rsid w:val="20174D52"/>
    <w:rsid w:val="2017787C"/>
    <w:rsid w:val="203366AD"/>
    <w:rsid w:val="203F5DCD"/>
    <w:rsid w:val="2058589F"/>
    <w:rsid w:val="209D3CCC"/>
    <w:rsid w:val="20C97C28"/>
    <w:rsid w:val="20D94EF4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B288A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39601D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4D204F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5708F0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E0AB7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D25BD5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14CAA"/>
    <w:rsid w:val="37834E57"/>
    <w:rsid w:val="3790619C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400022D"/>
    <w:rsid w:val="440E44B1"/>
    <w:rsid w:val="44234CD7"/>
    <w:rsid w:val="4453738B"/>
    <w:rsid w:val="447443E9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7D0334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391C0B"/>
    <w:rsid w:val="475424FD"/>
    <w:rsid w:val="477B333E"/>
    <w:rsid w:val="47875540"/>
    <w:rsid w:val="479906D2"/>
    <w:rsid w:val="47B5437F"/>
    <w:rsid w:val="47B91BA4"/>
    <w:rsid w:val="47E01CC8"/>
    <w:rsid w:val="48167E7D"/>
    <w:rsid w:val="481D1FDE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4E48B3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6D3625"/>
    <w:rsid w:val="517A013C"/>
    <w:rsid w:val="51850CCC"/>
    <w:rsid w:val="518925D2"/>
    <w:rsid w:val="518A1E9A"/>
    <w:rsid w:val="51951170"/>
    <w:rsid w:val="51996B79"/>
    <w:rsid w:val="51A44CA9"/>
    <w:rsid w:val="51A63B46"/>
    <w:rsid w:val="51A92185"/>
    <w:rsid w:val="51B57BB1"/>
    <w:rsid w:val="51E8459B"/>
    <w:rsid w:val="51E91720"/>
    <w:rsid w:val="52096B09"/>
    <w:rsid w:val="522B4F99"/>
    <w:rsid w:val="52397263"/>
    <w:rsid w:val="523D3416"/>
    <w:rsid w:val="524F18CF"/>
    <w:rsid w:val="52515C61"/>
    <w:rsid w:val="526619DE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D22964"/>
    <w:rsid w:val="56F722EC"/>
    <w:rsid w:val="5707195E"/>
    <w:rsid w:val="57392849"/>
    <w:rsid w:val="5748212E"/>
    <w:rsid w:val="574B4802"/>
    <w:rsid w:val="5753510D"/>
    <w:rsid w:val="5775795C"/>
    <w:rsid w:val="5776198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C60D9E"/>
    <w:rsid w:val="58EA1CCD"/>
    <w:rsid w:val="590905A3"/>
    <w:rsid w:val="590A1848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873D36"/>
    <w:rsid w:val="5AB76F3C"/>
    <w:rsid w:val="5AF6342D"/>
    <w:rsid w:val="5B0E67FA"/>
    <w:rsid w:val="5B2720FB"/>
    <w:rsid w:val="5B4E455A"/>
    <w:rsid w:val="5B5B04C8"/>
    <w:rsid w:val="5B746E53"/>
    <w:rsid w:val="5BB00D7C"/>
    <w:rsid w:val="5BB64D2A"/>
    <w:rsid w:val="5BC53F2A"/>
    <w:rsid w:val="5BD90FAE"/>
    <w:rsid w:val="5C1F3B35"/>
    <w:rsid w:val="5C2C22C4"/>
    <w:rsid w:val="5C730ABA"/>
    <w:rsid w:val="5C810A5A"/>
    <w:rsid w:val="5CB777AB"/>
    <w:rsid w:val="5CB801E0"/>
    <w:rsid w:val="5CD441E5"/>
    <w:rsid w:val="5CE53377"/>
    <w:rsid w:val="5CF94596"/>
    <w:rsid w:val="5D017424"/>
    <w:rsid w:val="5D0F1B80"/>
    <w:rsid w:val="5D172AA9"/>
    <w:rsid w:val="5D29581F"/>
    <w:rsid w:val="5D2F523D"/>
    <w:rsid w:val="5D5D411F"/>
    <w:rsid w:val="5DE81F5E"/>
    <w:rsid w:val="5DEC4192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65177A"/>
    <w:rsid w:val="62C6792F"/>
    <w:rsid w:val="62EC6A12"/>
    <w:rsid w:val="62F54A9B"/>
    <w:rsid w:val="631D5881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C7523B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6F4109B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AB1019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62568"/>
    <w:rsid w:val="69D91FE1"/>
    <w:rsid w:val="69E25864"/>
    <w:rsid w:val="69E439C5"/>
    <w:rsid w:val="6A03112F"/>
    <w:rsid w:val="6A0B1E23"/>
    <w:rsid w:val="6A0C4B66"/>
    <w:rsid w:val="6A254C33"/>
    <w:rsid w:val="6A3473F8"/>
    <w:rsid w:val="6A766083"/>
    <w:rsid w:val="6A7B73F6"/>
    <w:rsid w:val="6AA87EA0"/>
    <w:rsid w:val="6AB51FC3"/>
    <w:rsid w:val="6AE0057A"/>
    <w:rsid w:val="6B1A252B"/>
    <w:rsid w:val="6B2D1DA7"/>
    <w:rsid w:val="6B570800"/>
    <w:rsid w:val="6B6F7183"/>
    <w:rsid w:val="6B8C47E4"/>
    <w:rsid w:val="6B9F2CCB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DE6F4D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CF27C9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E41ED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F160D3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AD76AE"/>
    <w:rsid w:val="79BE2303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637D41"/>
    <w:rsid w:val="7B6C49AA"/>
    <w:rsid w:val="7BB04B5E"/>
    <w:rsid w:val="7BB57D54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5717BA"/>
    <w:rsid w:val="7E6F0862"/>
    <w:rsid w:val="7E6F60EB"/>
    <w:rsid w:val="7E942656"/>
    <w:rsid w:val="7EE956F2"/>
    <w:rsid w:val="7EEC2AC9"/>
    <w:rsid w:val="7F014DC7"/>
    <w:rsid w:val="7F3218E1"/>
    <w:rsid w:val="7F4E25F9"/>
    <w:rsid w:val="7F6B7EAD"/>
    <w:rsid w:val="7F716A64"/>
    <w:rsid w:val="7F93455B"/>
    <w:rsid w:val="7FC140F3"/>
    <w:rsid w:val="7FCC5C17"/>
    <w:rsid w:val="7FE211DE"/>
    <w:rsid w:val="7FF609FC"/>
    <w:rsid w:val="7F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Char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Char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Char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Lines>1</Lines>
  <Paragraphs>1</Paragraphs>
  <TotalTime>1</TotalTime>
  <ScaleCrop>false</ScaleCrop>
  <LinksUpToDate>false</LinksUpToDate>
  <CharactersWithSpaces>271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2023-03-29T08:35:00Z</dcterms:created>
  <dc:creator>jxp</dc:creator>
  <cp:lastModifiedBy>王星然</cp:lastModifiedBy>
  <dcterms:modified xsi:type="dcterms:W3CDTF">2023-10-30T01:12:20Z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4B768366111A46959061ED09137D1AB8</vt:lpwstr>
  </property>
</Properties>
</file>