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775"/>
                <wp:lineTo x="21504" y="20775"/>
                <wp:lineTo x="21504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智能云评审二期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（2023.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18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rFonts w:hint="eastAsia" w:eastAsia="仿宋_GB2312"/>
          <w:szCs w:val="32"/>
          <w:lang w:val="en-US" w:eastAsia="zh-CN"/>
        </w:rPr>
      </w:pPr>
      <w:r>
        <w:rPr>
          <w:rFonts w:hint="eastAsia"/>
          <w:szCs w:val="32"/>
        </w:rPr>
        <w:t>国能e购</w:t>
      </w:r>
      <w:r>
        <w:rPr>
          <w:rFonts w:hint="eastAsia"/>
          <w:szCs w:val="32"/>
          <w:lang w:val="en-US" w:eastAsia="zh-CN"/>
        </w:rPr>
        <w:t>智能云评审二期</w:t>
      </w:r>
      <w:r>
        <w:rPr>
          <w:rFonts w:hint="eastAsia"/>
          <w:szCs w:val="32"/>
        </w:rPr>
        <w:t>将于2023年</w:t>
      </w:r>
      <w:r>
        <w:rPr>
          <w:rFonts w:hint="eastAsia"/>
          <w:szCs w:val="32"/>
          <w:lang w:val="en-US" w:eastAsia="zh-CN"/>
        </w:rPr>
        <w:t>10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18</w:t>
      </w:r>
      <w:r>
        <w:rPr>
          <w:rFonts w:hint="eastAsia"/>
          <w:szCs w:val="32"/>
        </w:rPr>
        <w:t>日19:00进行发版，本次发版主要内容如下：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资质/业绩目录树管理。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资质/业绩信息管理（供应商侧）。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资质/业绩信息审核。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资质/业绩/征信信息查询。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基础数据-告知模板配置新增适用范围字段。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SRM采购计划明细数据新增品牌要求、品牌授权要求、资质要求、单价最高限价（元）。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采购文件编制。新增采购经理审批，支持询价采购施工/服务类技术商务定性、物资/施工/服务类综合评估法。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采购策划（执行）。支持询价采购施工/服务类技术商务定性、物资/施工/服务类综合评估法，更新若主单字段的取值逻辑。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采购策划（执行）。固定评审因素且不可编辑。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采购策划（执行）。智能云评审计划评审地点默认在线评审。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采购策划（执行）。在线编辑采购文件覆盖原讯飞附件。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采购策划。主动获取讯飞采购文件数据。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报价中澄清支持在线编制澄清文件。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无效报价判定由人工改为系统直接判定（IP地址、 商务/技术文件最后修改人、电话/邮箱）。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专家信息维护，关联账号功能去掉验证码。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专家信息审核通过后，专家现工作单位字段值不反写入账号组织机构字段。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评审准备。采购人代表取消选择范围限制。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评审组建。组建中/已组建页签列表增加采购编号。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评审组建。在线评审未审核通过不允许提交评审。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评审中心。专家评审因素校核结果不一致不允许提交。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评审中心。专家评审因素不符情况说明带到汇总阶段。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评审中心。重新评审保留上次组建的专家数据。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评审中心。询价采购技术商务定性/综合评估法，支持专家跳转讯飞完成复核。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集采成交服务费菜单，增加采购编号。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支持智能云评审一期二期并行。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新增菜单跳转讯飞运营管理后台。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科大讯飞运营管理后台。范本分类树管理、范本模型管理、范本编制管理、范本审批。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科大讯飞。技术商务定性、综合评估法采购项目的采购计划编制、采购策划编制、采购澄清、引导式报价、报价撤回、AI评审、符合项复核、评分项复核。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科大讯飞。AI管理平台、标注训练平台、AI能力（11种）。</w:t>
      </w:r>
      <w:bookmarkStart w:id="0" w:name="_GoBack"/>
      <w:bookmarkEnd w:id="0"/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科大讯飞。一期接口适应性改造。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0111B"/>
    <w:multiLevelType w:val="multilevel"/>
    <w:tmpl w:val="BEA0111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C117FBEA"/>
    <w:multiLevelType w:val="singleLevel"/>
    <w:tmpl w:val="C117FBEA"/>
    <w:lvl w:ilvl="0" w:tentative="0">
      <w:start w:val="1"/>
      <w:numFmt w:val="chineseCounting"/>
      <w:pStyle w:val="11"/>
      <w:suff w:val="nothing"/>
      <w:lvlText w:val="（%1）"/>
      <w:lvlJc w:val="left"/>
      <w:rPr>
        <w:rFonts w:hint="eastAsia"/>
      </w:rPr>
    </w:lvl>
  </w:abstractNum>
  <w:abstractNum w:abstractNumId="2">
    <w:nsid w:val="3365729B"/>
    <w:multiLevelType w:val="singleLevel"/>
    <w:tmpl w:val="3365729B"/>
    <w:lvl w:ilvl="0" w:tentative="0">
      <w:start w:val="1"/>
      <w:numFmt w:val="chineseCounting"/>
      <w:pStyle w:val="10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17138"/>
    <w:rsid w:val="027D6C91"/>
    <w:rsid w:val="0FB722BE"/>
    <w:rsid w:val="13D749A0"/>
    <w:rsid w:val="1EB145E3"/>
    <w:rsid w:val="2DAD7A40"/>
    <w:rsid w:val="30C3128A"/>
    <w:rsid w:val="33D5275A"/>
    <w:rsid w:val="35646AD6"/>
    <w:rsid w:val="3A700692"/>
    <w:rsid w:val="3A8240AC"/>
    <w:rsid w:val="3D003E94"/>
    <w:rsid w:val="466D6214"/>
    <w:rsid w:val="4A7F68A7"/>
    <w:rsid w:val="4AE17138"/>
    <w:rsid w:val="4B9F3E1E"/>
    <w:rsid w:val="4D07262D"/>
    <w:rsid w:val="644A33BC"/>
    <w:rsid w:val="6761032A"/>
    <w:rsid w:val="69953B8F"/>
    <w:rsid w:val="6D8F71CE"/>
    <w:rsid w:val="70BB7381"/>
    <w:rsid w:val="7CCB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9">
    <w:name w:val="月报正文"/>
    <w:basedOn w:val="1"/>
    <w:qFormat/>
    <w:uiPriority w:val="0"/>
    <w:pPr>
      <w:spacing w:line="600" w:lineRule="exact"/>
      <w:ind w:firstLine="640" w:firstLineChars="200"/>
      <w:jc w:val="left"/>
    </w:pPr>
    <w:rPr>
      <w:rFonts w:hint="eastAsia" w:ascii="仿宋_GB2312" w:hAnsi="仿宋_GB2312" w:eastAsia="仿宋_GB2312"/>
      <w:sz w:val="32"/>
    </w:rPr>
  </w:style>
  <w:style w:type="paragraph" w:customStyle="1" w:styleId="10">
    <w:name w:val="月报一级标题"/>
    <w:basedOn w:val="1"/>
    <w:qFormat/>
    <w:uiPriority w:val="0"/>
    <w:pPr>
      <w:numPr>
        <w:ilvl w:val="0"/>
        <w:numId w:val="1"/>
      </w:numPr>
      <w:ind w:firstLine="640"/>
      <w:jc w:val="left"/>
      <w:outlineLvl w:val="0"/>
    </w:pPr>
    <w:rPr>
      <w:rFonts w:hint="eastAsia" w:ascii="黑体" w:hAnsi="黑体" w:eastAsia="黑体"/>
      <w:sz w:val="32"/>
    </w:rPr>
  </w:style>
  <w:style w:type="paragraph" w:customStyle="1" w:styleId="11">
    <w:name w:val="月报二级标题"/>
    <w:basedOn w:val="1"/>
    <w:qFormat/>
    <w:uiPriority w:val="0"/>
    <w:pPr>
      <w:widowControl/>
      <w:numPr>
        <w:ilvl w:val="0"/>
        <w:numId w:val="2"/>
      </w:numPr>
      <w:ind w:firstLine="640" w:firstLineChars="200"/>
      <w:outlineLvl w:val="1"/>
    </w:pPr>
    <w:rPr>
      <w:rFonts w:hint="eastAsia" w:ascii="楷体" w:hAnsi="楷体" w:eastAsia="楷体"/>
      <w:b/>
      <w:kern w:val="18"/>
      <w:sz w:val="32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2023-04-25T07:25:00Z</dcterms:created>
  <dc:creator>关宇晗</dc:creator>
  <cp:lastModifiedBy>王星然</cp:lastModifiedBy>
  <dcterms:modified xsi:type="dcterms:W3CDTF">2023-10-18T02:07:20Z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D5B1AEB61B2941EFAB338C2C5B5E8A19</vt:lpwstr>
  </property>
</Properties>
</file>