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775"/>
                <wp:lineTo x="21504" y="20775"/>
                <wp:lineTo x="21504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（2023.0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国能e购将于2023年0</w:t>
      </w:r>
      <w:r>
        <w:rPr>
          <w:rFonts w:hint="eastAsia"/>
          <w:szCs w:val="32"/>
          <w:lang w:val="en-US" w:eastAsia="zh-CN"/>
        </w:rPr>
        <w:t>9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14</w:t>
      </w:r>
      <w:r>
        <w:rPr>
          <w:rFonts w:hint="eastAsia"/>
          <w:szCs w:val="32"/>
        </w:rPr>
        <w:t>日19:00进行发版，本次发版主要内容如下：</w:t>
      </w:r>
    </w:p>
    <w:p>
      <w:pPr>
        <w:pStyle w:val="3"/>
        <w:widowControl w:val="0"/>
        <w:numPr>
          <w:ilvl w:val="0"/>
          <w:numId w:val="0"/>
        </w:numPr>
        <w:spacing w:before="120" w:line="560" w:lineRule="exact"/>
        <w:ind w:left="640" w:leftChars="0"/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一、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国能e购商城功能</w:t>
      </w:r>
    </w:p>
    <w:p>
      <w:pPr>
        <w:widowControl w:val="0"/>
        <w:ind w:firstLine="640"/>
        <w:rPr>
          <w:rFonts w:hint="default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优化国能e购协同运营提质优化项目功能逻辑，包含验收逻辑、订单中心和结算中心同步逻辑和页面查询逻辑等部分。</w:t>
      </w:r>
    </w:p>
    <w:p>
      <w:pPr>
        <w:pStyle w:val="3"/>
        <w:widowControl w:val="0"/>
        <w:numPr>
          <w:ilvl w:val="0"/>
          <w:numId w:val="0"/>
        </w:numPr>
        <w:spacing w:before="120" w:line="560" w:lineRule="exact"/>
        <w:ind w:left="640" w:left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二、国能e购数据分析</w:t>
      </w:r>
    </w:p>
    <w:p>
      <w:pPr>
        <w:pStyle w:val="2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新增e购-数据分析-超市协议接续全过程台账，汇总、整合目前系统内全部超市协议全流程数据，包括询价单、成交通知、协议相关信息，并支持多条件组合查询与数据导出。</w:t>
      </w:r>
    </w:p>
    <w:p>
      <w:pPr>
        <w:pStyle w:val="3"/>
        <w:widowControl w:val="0"/>
        <w:numPr>
          <w:ilvl w:val="0"/>
          <w:numId w:val="0"/>
        </w:numPr>
        <w:spacing w:before="120" w:line="560" w:lineRule="exact"/>
        <w:ind w:left="640" w:leftChars="0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三、国能e拍功能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1.调整国能e拍成交通知书内容：增加运营机构联系信息，落款去掉运营机构名称。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2.调整国能e拍平台获取平安银行回单的逻辑。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3.对已有的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e购-报表中心-e拍台账-保证金台账</w:t>
      </w:r>
      <w:r>
        <w:rPr>
          <w:rFonts w:hint="eastAsia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服务费金台账</w:t>
      </w:r>
      <w:r>
        <w:rPr>
          <w:rFonts w:hint="eastAsia" w:cs="仿宋_GB2312"/>
          <w:sz w:val="32"/>
          <w:szCs w:val="32"/>
          <w:lang w:val="en-US" w:eastAsia="zh-CN"/>
        </w:rPr>
        <w:t>报表新增</w:t>
      </w:r>
      <w: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  <w:t>数据权限隔离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，配有“e拍台账查询”角色的账号，可以通过两个台账查询、导出账号所属单位的项目相关数据。</w:t>
      </w:r>
    </w:p>
    <w:p>
      <w:pPr>
        <w:pStyle w:val="3"/>
        <w:widowControl w:val="0"/>
        <w:numPr>
          <w:ilvl w:val="0"/>
          <w:numId w:val="0"/>
        </w:numPr>
        <w:spacing w:before="120" w:line="560" w:lineRule="exact"/>
        <w:ind w:left="640" w:leftChars="0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四、国能e购非招标采购功能优化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1.国能e购数字证书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询价中心针对国能e购数字证书加解密方式适配改造，保持现有报价业务流程和操作习惯不变，仅在后端服务增加CA证书加解密的环节，确保用户体验不变。本次发版内容仅包含询价中心改造部分，CA证书加解密方式未开启，仍使用原加密方式进行加解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7FBEA"/>
    <w:multiLevelType w:val="singleLevel"/>
    <w:tmpl w:val="C117FBEA"/>
    <w:lvl w:ilvl="0" w:tentative="0">
      <w:start w:val="1"/>
      <w:numFmt w:val="chineseCounting"/>
      <w:pStyle w:val="13"/>
      <w:suff w:val="nothing"/>
      <w:lvlText w:val="（%1）"/>
      <w:lvlJc w:val="left"/>
      <w:rPr>
        <w:rFonts w:hint="eastAsia"/>
      </w:rPr>
    </w:lvl>
  </w:abstractNum>
  <w:abstractNum w:abstractNumId="1">
    <w:nsid w:val="3365729B"/>
    <w:multiLevelType w:val="singleLevel"/>
    <w:tmpl w:val="3365729B"/>
    <w:lvl w:ilvl="0" w:tentative="0">
      <w:start w:val="1"/>
      <w:numFmt w:val="chineseCounting"/>
      <w:pStyle w:val="12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7138"/>
    <w:rsid w:val="00EF19E6"/>
    <w:rsid w:val="02040ADD"/>
    <w:rsid w:val="027D6C91"/>
    <w:rsid w:val="08973C91"/>
    <w:rsid w:val="093C7535"/>
    <w:rsid w:val="0AED6902"/>
    <w:rsid w:val="11206427"/>
    <w:rsid w:val="12D155F6"/>
    <w:rsid w:val="131E7E57"/>
    <w:rsid w:val="134428A9"/>
    <w:rsid w:val="139E17DA"/>
    <w:rsid w:val="13D749A0"/>
    <w:rsid w:val="13EF46BC"/>
    <w:rsid w:val="14F41156"/>
    <w:rsid w:val="15FE746F"/>
    <w:rsid w:val="16D62C05"/>
    <w:rsid w:val="17A02C68"/>
    <w:rsid w:val="19A10699"/>
    <w:rsid w:val="1EB145E3"/>
    <w:rsid w:val="203A47E8"/>
    <w:rsid w:val="24D15452"/>
    <w:rsid w:val="24F00BD3"/>
    <w:rsid w:val="27EB5C8B"/>
    <w:rsid w:val="28FE6A4D"/>
    <w:rsid w:val="2902676E"/>
    <w:rsid w:val="29550D74"/>
    <w:rsid w:val="2A31625E"/>
    <w:rsid w:val="2AE54383"/>
    <w:rsid w:val="2C1B1D16"/>
    <w:rsid w:val="30C3128A"/>
    <w:rsid w:val="31C74937"/>
    <w:rsid w:val="33D5275A"/>
    <w:rsid w:val="35646AD6"/>
    <w:rsid w:val="357723E0"/>
    <w:rsid w:val="3A700692"/>
    <w:rsid w:val="3B2B567D"/>
    <w:rsid w:val="3CAB1F64"/>
    <w:rsid w:val="3E662CE8"/>
    <w:rsid w:val="3E985F3F"/>
    <w:rsid w:val="408D72F4"/>
    <w:rsid w:val="47182731"/>
    <w:rsid w:val="49AE1470"/>
    <w:rsid w:val="4A7F68A7"/>
    <w:rsid w:val="4AE17138"/>
    <w:rsid w:val="4B9F3E1E"/>
    <w:rsid w:val="4D07262D"/>
    <w:rsid w:val="510E2D0E"/>
    <w:rsid w:val="58BE11AC"/>
    <w:rsid w:val="59EA4894"/>
    <w:rsid w:val="5F0A19C8"/>
    <w:rsid w:val="61D43510"/>
    <w:rsid w:val="61FD68D2"/>
    <w:rsid w:val="62700E0F"/>
    <w:rsid w:val="64837576"/>
    <w:rsid w:val="663E21E1"/>
    <w:rsid w:val="69953B8F"/>
    <w:rsid w:val="6A842A4E"/>
    <w:rsid w:val="6C6454E2"/>
    <w:rsid w:val="6CEC68FA"/>
    <w:rsid w:val="6D8F71CE"/>
    <w:rsid w:val="6F0363A1"/>
    <w:rsid w:val="6FB6634A"/>
    <w:rsid w:val="70065659"/>
    <w:rsid w:val="70BB7381"/>
    <w:rsid w:val="72803E9E"/>
    <w:rsid w:val="77997AC2"/>
    <w:rsid w:val="795D662A"/>
    <w:rsid w:val="7BBA5DE7"/>
    <w:rsid w:val="7CCB17A6"/>
    <w:rsid w:val="7CEC3E87"/>
    <w:rsid w:val="7FF1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Body Text Indent"/>
    <w:basedOn w:val="1"/>
    <w:qFormat/>
    <w:uiPriority w:val="0"/>
    <w:pPr>
      <w:suppressAutoHyphens/>
      <w:spacing w:line="360" w:lineRule="auto"/>
      <w:ind w:firstLine="426"/>
    </w:pPr>
    <w:rPr>
      <w:rFonts w:ascii="宋体" w:hAnsi="宋体" w:eastAsia="宋体"/>
      <w:snapToGrid/>
      <w:color w:val="FF00FF"/>
      <w:sz w:val="24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月报正文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仿宋_GB2312" w:hAnsi="仿宋_GB2312" w:eastAsia="仿宋_GB2312"/>
      <w:sz w:val="32"/>
    </w:rPr>
  </w:style>
  <w:style w:type="paragraph" w:customStyle="1" w:styleId="12">
    <w:name w:val="月报一级标题"/>
    <w:basedOn w:val="1"/>
    <w:qFormat/>
    <w:uiPriority w:val="0"/>
    <w:pPr>
      <w:numPr>
        <w:ilvl w:val="0"/>
        <w:numId w:val="1"/>
      </w:numPr>
      <w:ind w:firstLine="640"/>
      <w:jc w:val="left"/>
      <w:outlineLvl w:val="0"/>
    </w:pPr>
    <w:rPr>
      <w:rFonts w:hint="eastAsia" w:ascii="黑体" w:hAnsi="黑体" w:eastAsia="黑体"/>
      <w:sz w:val="32"/>
    </w:rPr>
  </w:style>
  <w:style w:type="paragraph" w:customStyle="1" w:styleId="13">
    <w:name w:val="月报二级标题"/>
    <w:basedOn w:val="1"/>
    <w:qFormat/>
    <w:uiPriority w:val="0"/>
    <w:pPr>
      <w:widowControl/>
      <w:numPr>
        <w:ilvl w:val="0"/>
        <w:numId w:val="2"/>
      </w:numPr>
      <w:ind w:firstLine="640" w:firstLineChars="200"/>
      <w:outlineLvl w:val="1"/>
    </w:pPr>
    <w:rPr>
      <w:rFonts w:hint="eastAsia" w:ascii="楷体" w:hAnsi="楷体" w:eastAsia="楷体"/>
      <w:b/>
      <w:kern w:val="18"/>
      <w:sz w:val="32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2023-04-25T07:25:00Z</dcterms:created>
  <dc:creator>关宇晗</dc:creator>
  <cp:lastModifiedBy>孙培顺</cp:lastModifiedBy>
  <dcterms:modified xsi:type="dcterms:W3CDTF">2023-09-14T07:04:37Z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5BF9701CF7A140FD867496879244BC0C</vt:lpwstr>
  </property>
</Properties>
</file>