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4445" b="8255"/>
            <wp:wrapThrough wrapText="bothSides">
              <wp:wrapPolygon>
                <wp:start x="0" y="0"/>
                <wp:lineTo x="0" y="20775"/>
                <wp:lineTo x="21504" y="20775"/>
                <wp:lineTo x="21504"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（2023.0</w:t>
      </w:r>
      <w:r>
        <w:rPr>
          <w:rFonts w:hint="eastAsia" w:ascii="楷体_GB2312" w:hAnsi="楷体_GB2312" w:eastAsia="楷体_GB2312" w:cs="楷体_GB2312"/>
          <w:b/>
          <w:bCs/>
          <w:szCs w:val="32"/>
          <w:lang w:val="en-US" w:eastAsia="zh-CN"/>
        </w:rPr>
        <w:t>7</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17</w:t>
      </w:r>
      <w:r>
        <w:rPr>
          <w:rFonts w:hint="eastAsia" w:ascii="楷体_GB2312" w:hAnsi="楷体_GB2312" w:eastAsia="楷体_GB2312" w:cs="楷体_GB2312"/>
          <w:b/>
          <w:bCs/>
          <w:szCs w:val="32"/>
        </w:rPr>
        <w:t>）</w:t>
      </w:r>
    </w:p>
    <w:p>
      <w:pPr>
        <w:widowControl w:val="0"/>
        <w:ind w:firstLine="640"/>
        <w:rPr>
          <w:szCs w:val="32"/>
        </w:rPr>
      </w:pPr>
      <w:r>
        <w:rPr>
          <w:rFonts w:hint="eastAsia"/>
          <w:szCs w:val="32"/>
        </w:rPr>
        <w:t>国能e购将于2023年0</w:t>
      </w:r>
      <w:r>
        <w:rPr>
          <w:rFonts w:hint="eastAsia"/>
          <w:szCs w:val="32"/>
          <w:lang w:val="en-US" w:eastAsia="zh-CN"/>
        </w:rPr>
        <w:t>7</w:t>
      </w:r>
      <w:r>
        <w:rPr>
          <w:rFonts w:hint="eastAsia"/>
          <w:szCs w:val="32"/>
        </w:rPr>
        <w:t>月</w:t>
      </w:r>
      <w:r>
        <w:rPr>
          <w:rFonts w:hint="eastAsia"/>
          <w:szCs w:val="32"/>
          <w:lang w:val="en-US" w:eastAsia="zh-CN"/>
        </w:rPr>
        <w:t>17</w:t>
      </w:r>
      <w:r>
        <w:rPr>
          <w:rFonts w:hint="eastAsia"/>
          <w:szCs w:val="32"/>
        </w:rPr>
        <w:t>日19:00进行发版，本次发版主要内容如下：</w:t>
      </w:r>
    </w:p>
    <w:p>
      <w:pPr>
        <w:pStyle w:val="4"/>
        <w:widowControl w:val="0"/>
        <w:numPr>
          <w:ilvl w:val="0"/>
          <w:numId w:val="3"/>
        </w:numPr>
        <w:spacing w:before="120" w:line="560" w:lineRule="exact"/>
        <w:rPr>
          <w:rFonts w:ascii="仿宋_GB2312" w:hAnsi="仿宋_GB2312" w:eastAsia="仿宋_GB2312"/>
          <w:b/>
          <w:bCs/>
          <w:color w:val="000000"/>
          <w:kern w:val="2"/>
          <w:sz w:val="32"/>
          <w:szCs w:val="32"/>
        </w:rPr>
      </w:pPr>
      <w:r>
        <w:rPr>
          <w:rFonts w:ascii="仿宋_GB2312" w:hAnsi="仿宋_GB2312" w:eastAsia="仿宋_GB2312"/>
          <w:b/>
          <w:bCs/>
          <w:color w:val="000000"/>
          <w:kern w:val="2"/>
          <w:sz w:val="32"/>
          <w:szCs w:val="32"/>
        </w:rPr>
        <w:t>国能e购非招标采购功能优化</w:t>
      </w:r>
    </w:p>
    <w:p>
      <w:pPr>
        <w:numPr>
          <w:ilvl w:val="0"/>
          <w:numId w:val="4"/>
        </w:numPr>
        <w:ind w:left="5" w:leftChars="0" w:firstLine="635" w:firstLineChars="0"/>
        <w:rPr>
          <w:rFonts w:hint="eastAsia" w:cs="Times New Roman"/>
          <w:b w:val="0"/>
          <w:bCs w:val="0"/>
          <w:lang w:val="en-US" w:eastAsia="zh-CN"/>
        </w:rPr>
      </w:pPr>
      <w:r>
        <w:rPr>
          <w:rFonts w:hint="eastAsia" w:cs="Times New Roman"/>
          <w:b w:val="0"/>
          <w:bCs w:val="0"/>
          <w:lang w:val="en-US" w:eastAsia="zh-CN"/>
        </w:rPr>
        <w:t>专家库抽取及入库优化：</w:t>
      </w:r>
    </w:p>
    <w:p>
      <w:pPr>
        <w:pStyle w:val="5"/>
        <w:numPr>
          <w:ilvl w:val="0"/>
          <w:numId w:val="5"/>
        </w:numPr>
        <w:ind w:left="1265" w:leftChars="0" w:hanging="425" w:firstLineChars="0"/>
        <w:jc w:val="both"/>
        <w:rPr>
          <w:rFonts w:hint="eastAsia"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评审准备界面，扩大“采购人代表”可选范围，可选打包人及提报人所在单位下的所有采购人代表。</w:t>
      </w:r>
    </w:p>
    <w:p>
      <w:pPr>
        <w:pStyle w:val="5"/>
        <w:numPr>
          <w:ilvl w:val="0"/>
          <w:numId w:val="5"/>
        </w:numPr>
        <w:ind w:left="1265" w:leftChars="0" w:hanging="425" w:firstLineChars="0"/>
        <w:jc w:val="both"/>
        <w:rPr>
          <w:rFonts w:hint="eastAsia"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提报人所属子分公司为国家能源集团国源电力有限公司或者神华神东电力有限责任公司时，采购管理机构代表选取范围为国家能源集团国源电力有限公司及神华神东电力有限责任公司。</w:t>
      </w:r>
    </w:p>
    <w:p>
      <w:pPr>
        <w:pStyle w:val="5"/>
        <w:numPr>
          <w:ilvl w:val="0"/>
          <w:numId w:val="5"/>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“申请回避信息”字段增加“无回避信息”选项，专家无回避单位时可勾选“无回避信息”。</w:t>
      </w:r>
    </w:p>
    <w:p>
      <w:pPr>
        <w:pStyle w:val="4"/>
        <w:widowControl w:val="0"/>
        <w:numPr>
          <w:ilvl w:val="0"/>
          <w:numId w:val="6"/>
        </w:numPr>
        <w:spacing w:before="120" w:line="560" w:lineRule="exact"/>
        <w:rPr>
          <w:rFonts w:hint="default" w:ascii="仿宋_GB2312" w:hAnsi="仿宋_GB2312" w:eastAsia="仿宋_GB2312"/>
          <w:b/>
          <w:bCs/>
          <w:color w:val="000000"/>
          <w:kern w:val="2"/>
          <w:sz w:val="32"/>
          <w:szCs w:val="32"/>
        </w:rPr>
      </w:pPr>
      <w:r>
        <w:rPr>
          <w:rFonts w:ascii="仿宋_GB2312" w:hAnsi="仿宋_GB2312" w:eastAsia="仿宋_GB2312"/>
          <w:b/>
          <w:bCs/>
          <w:color w:val="000000"/>
          <w:kern w:val="2"/>
          <w:sz w:val="32"/>
          <w:szCs w:val="32"/>
        </w:rPr>
        <w:t>国能e购商城功能优化</w:t>
      </w:r>
    </w:p>
    <w:p>
      <w:pPr>
        <w:numPr>
          <w:ilvl w:val="0"/>
          <w:numId w:val="7"/>
        </w:numPr>
        <w:ind w:left="5" w:leftChars="0" w:firstLine="635" w:firstLineChars="0"/>
        <w:rPr>
          <w:rFonts w:hint="default"/>
          <w:b w:val="0"/>
          <w:bCs w:val="0"/>
          <w:lang w:val="en-US" w:eastAsia="zh-CN"/>
        </w:rPr>
      </w:pPr>
      <w:r>
        <w:rPr>
          <w:rFonts w:hint="eastAsia"/>
          <w:b w:val="0"/>
          <w:bCs w:val="0"/>
          <w:lang w:val="en-US" w:eastAsia="zh-CN"/>
        </w:rPr>
        <w:t>菜单“商城协议查询”增加“修改联系人”功能</w:t>
      </w:r>
    </w:p>
    <w:p>
      <w:pPr>
        <w:pStyle w:val="5"/>
        <w:numPr>
          <w:ilvl w:val="0"/>
          <w:numId w:val="8"/>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角色为“跟单经理”时显示该功能，其他角色不显示；</w:t>
      </w:r>
      <w:bookmarkStart w:id="0" w:name="_GoBack"/>
      <w:bookmarkEnd w:id="0"/>
    </w:p>
    <w:p>
      <w:pPr>
        <w:pStyle w:val="5"/>
        <w:numPr>
          <w:ilvl w:val="0"/>
          <w:numId w:val="8"/>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修改后无工作流，直接变更协议联系人信息；</w:t>
      </w:r>
    </w:p>
    <w:p>
      <w:pPr>
        <w:pStyle w:val="5"/>
        <w:numPr>
          <w:ilvl w:val="0"/>
          <w:numId w:val="8"/>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菜单“商城协议变更（其他变更）”中，变更联系人功能保留，功能及流程不做改造。</w:t>
      </w:r>
    </w:p>
    <w:p>
      <w:pPr>
        <w:numPr>
          <w:ilvl w:val="0"/>
          <w:numId w:val="7"/>
        </w:numPr>
        <w:ind w:left="5" w:leftChars="0" w:firstLine="635" w:firstLineChars="0"/>
        <w:rPr>
          <w:rFonts w:hint="default"/>
          <w:b w:val="0"/>
          <w:bCs w:val="0"/>
          <w:lang w:val="en-US" w:eastAsia="zh-CN"/>
        </w:rPr>
      </w:pPr>
      <w:r>
        <w:rPr>
          <w:rFonts w:hint="eastAsia"/>
          <w:b w:val="0"/>
          <w:bCs w:val="0"/>
          <w:lang w:val="en-US" w:eastAsia="zh-CN"/>
        </w:rPr>
        <w:t>商城新增项目单位，对商城协议“应用范围类型”为“项目单位”的协议经办人发送站内信提醒</w:t>
      </w:r>
    </w:p>
    <w:p>
      <w:pPr>
        <w:pStyle w:val="5"/>
        <w:numPr>
          <w:ilvl w:val="0"/>
          <w:numId w:val="9"/>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协议</w:t>
      </w:r>
      <w:r>
        <w:rPr>
          <w:rFonts w:hint="eastAsia" w:cs="Times New Roman"/>
          <w:b w:val="0"/>
          <w:bCs w:val="0"/>
          <w:color w:val="000000"/>
          <w:kern w:val="2"/>
          <w:sz w:val="32"/>
          <w:szCs w:val="28"/>
          <w:lang w:val="en-US" w:eastAsia="zh-CN" w:bidi="ar-SA"/>
        </w:rPr>
        <w:t>范围：商城协议状态为启用、暂停、冻结且“应用范围类型”为“项目单位”的专区协议；</w:t>
      </w:r>
    </w:p>
    <w:p>
      <w:pPr>
        <w:pStyle w:val="5"/>
        <w:numPr>
          <w:ilvl w:val="0"/>
          <w:numId w:val="9"/>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cs="Times New Roman"/>
          <w:b w:val="0"/>
          <w:bCs w:val="0"/>
          <w:color w:val="000000"/>
          <w:kern w:val="2"/>
          <w:sz w:val="32"/>
          <w:szCs w:val="28"/>
          <w:lang w:val="en-US" w:eastAsia="zh-CN" w:bidi="ar-SA"/>
        </w:rPr>
        <w:t>项目单位资金账户创建成功，系统自动给符合（1）条件的协议经办人发送站内信提醒。</w:t>
      </w:r>
    </w:p>
    <w:p>
      <w:pPr>
        <w:numPr>
          <w:ilvl w:val="0"/>
          <w:numId w:val="7"/>
        </w:numPr>
        <w:ind w:left="5" w:leftChars="0" w:firstLine="635" w:firstLineChars="0"/>
        <w:rPr>
          <w:rFonts w:hint="default"/>
          <w:b w:val="0"/>
          <w:bCs w:val="0"/>
          <w:lang w:val="en-US" w:eastAsia="zh-CN"/>
        </w:rPr>
      </w:pPr>
      <w:r>
        <w:rPr>
          <w:rFonts w:hint="eastAsia"/>
          <w:b w:val="0"/>
          <w:bCs w:val="0"/>
          <w:lang w:val="en-US" w:eastAsia="zh-CN"/>
        </w:rPr>
        <w:t>商城资金子账户增加平安银行的白名单功能，通过对资金子账户与资金来源方的账户户名进行绑定，用户在平安银行打款时进行来源方账户的户名校验，校验一致方可打款。</w:t>
      </w:r>
    </w:p>
    <w:p>
      <w:pPr>
        <w:pStyle w:val="5"/>
        <w:numPr>
          <w:ilvl w:val="0"/>
          <w:numId w:val="10"/>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新增菜单：资金管理-资金账户管理-资金账户白名单维护。</w:t>
      </w:r>
    </w:p>
    <w:p>
      <w:pPr>
        <w:pStyle w:val="5"/>
        <w:numPr>
          <w:ilvl w:val="0"/>
          <w:numId w:val="10"/>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结算主体结算专责角色，</w:t>
      </w:r>
      <w:r>
        <w:rPr>
          <w:rFonts w:hint="eastAsia" w:cs="Times New Roman"/>
          <w:b w:val="0"/>
          <w:bCs w:val="0"/>
          <w:color w:val="000000"/>
          <w:kern w:val="2"/>
          <w:sz w:val="32"/>
          <w:szCs w:val="28"/>
          <w:lang w:val="en-US" w:eastAsia="zh-CN" w:bidi="ar-SA"/>
        </w:rPr>
        <w:t>可以</w:t>
      </w:r>
      <w:r>
        <w:rPr>
          <w:rFonts w:hint="eastAsia" w:ascii="仿宋_GB2312" w:hAnsi="仿宋_GB2312" w:eastAsia="仿宋_GB2312" w:cs="Times New Roman"/>
          <w:b w:val="0"/>
          <w:bCs w:val="0"/>
          <w:color w:val="000000"/>
          <w:kern w:val="2"/>
          <w:sz w:val="32"/>
          <w:szCs w:val="28"/>
          <w:lang w:val="en-US" w:eastAsia="zh-CN" w:bidi="ar-SA"/>
        </w:rPr>
        <w:t>维护</w:t>
      </w:r>
      <w:r>
        <w:rPr>
          <w:rFonts w:hint="eastAsia" w:cs="Times New Roman"/>
          <w:b w:val="0"/>
          <w:bCs w:val="0"/>
          <w:color w:val="000000"/>
          <w:kern w:val="2"/>
          <w:sz w:val="32"/>
          <w:szCs w:val="28"/>
          <w:lang w:val="en-US" w:eastAsia="zh-CN" w:bidi="ar-SA"/>
        </w:rPr>
        <w:t>本单位主账户下</w:t>
      </w:r>
      <w:r>
        <w:rPr>
          <w:rFonts w:hint="eastAsia" w:ascii="仿宋_GB2312" w:hAnsi="仿宋_GB2312" w:eastAsia="仿宋_GB2312" w:cs="Times New Roman"/>
          <w:b w:val="0"/>
          <w:bCs w:val="0"/>
          <w:color w:val="000000"/>
          <w:kern w:val="2"/>
          <w:sz w:val="32"/>
          <w:szCs w:val="28"/>
          <w:lang w:val="en-US" w:eastAsia="zh-CN" w:bidi="ar-SA"/>
        </w:rPr>
        <w:t>资金</w:t>
      </w:r>
      <w:r>
        <w:rPr>
          <w:rFonts w:hint="eastAsia" w:cs="Times New Roman"/>
          <w:b w:val="0"/>
          <w:bCs w:val="0"/>
          <w:color w:val="000000"/>
          <w:kern w:val="2"/>
          <w:sz w:val="32"/>
          <w:szCs w:val="28"/>
          <w:lang w:val="en-US" w:eastAsia="zh-CN" w:bidi="ar-SA"/>
        </w:rPr>
        <w:t>子</w:t>
      </w:r>
      <w:r>
        <w:rPr>
          <w:rFonts w:hint="eastAsia" w:ascii="仿宋_GB2312" w:hAnsi="仿宋_GB2312" w:eastAsia="仿宋_GB2312" w:cs="Times New Roman"/>
          <w:b w:val="0"/>
          <w:bCs w:val="0"/>
          <w:color w:val="000000"/>
          <w:kern w:val="2"/>
          <w:sz w:val="32"/>
          <w:szCs w:val="28"/>
          <w:lang w:val="en-US" w:eastAsia="zh-CN" w:bidi="ar-SA"/>
        </w:rPr>
        <w:t>账户</w:t>
      </w:r>
      <w:r>
        <w:rPr>
          <w:rFonts w:hint="eastAsia" w:cs="Times New Roman"/>
          <w:b w:val="0"/>
          <w:bCs w:val="0"/>
          <w:color w:val="000000"/>
          <w:kern w:val="2"/>
          <w:sz w:val="32"/>
          <w:szCs w:val="28"/>
          <w:lang w:val="en-US" w:eastAsia="zh-CN" w:bidi="ar-SA"/>
        </w:rPr>
        <w:t>的</w:t>
      </w:r>
      <w:r>
        <w:rPr>
          <w:rFonts w:hint="eastAsia" w:ascii="仿宋_GB2312" w:hAnsi="仿宋_GB2312" w:eastAsia="仿宋_GB2312" w:cs="Times New Roman"/>
          <w:b w:val="0"/>
          <w:bCs w:val="0"/>
          <w:color w:val="000000"/>
          <w:kern w:val="2"/>
          <w:sz w:val="32"/>
          <w:szCs w:val="28"/>
          <w:lang w:val="en-US" w:eastAsia="zh-CN" w:bidi="ar-SA"/>
        </w:rPr>
        <w:t>白名单信息</w:t>
      </w:r>
      <w:r>
        <w:rPr>
          <w:rFonts w:hint="eastAsia" w:cs="Times New Roman"/>
          <w:b w:val="0"/>
          <w:bCs w:val="0"/>
          <w:color w:val="000000"/>
          <w:kern w:val="2"/>
          <w:sz w:val="32"/>
          <w:szCs w:val="28"/>
          <w:lang w:val="en-US" w:eastAsia="zh-CN" w:bidi="ar-SA"/>
        </w:rPr>
        <w:t>。</w:t>
      </w:r>
    </w:p>
    <w:p>
      <w:pPr>
        <w:pStyle w:val="5"/>
        <w:numPr>
          <w:ilvl w:val="0"/>
          <w:numId w:val="10"/>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cs="Times New Roman"/>
          <w:b w:val="0"/>
          <w:bCs w:val="0"/>
          <w:color w:val="000000"/>
          <w:kern w:val="2"/>
          <w:sz w:val="32"/>
          <w:szCs w:val="28"/>
          <w:lang w:val="en-US" w:eastAsia="zh-CN" w:bidi="ar-SA"/>
        </w:rPr>
        <w:t>提供</w:t>
      </w:r>
      <w:r>
        <w:rPr>
          <w:rFonts w:hint="eastAsia" w:ascii="仿宋_GB2312" w:hAnsi="仿宋_GB2312" w:eastAsia="仿宋_GB2312" w:cs="Times New Roman"/>
          <w:b w:val="0"/>
          <w:bCs w:val="0"/>
          <w:color w:val="000000"/>
          <w:kern w:val="2"/>
          <w:sz w:val="32"/>
          <w:szCs w:val="28"/>
          <w:lang w:val="en-US" w:eastAsia="zh-CN" w:bidi="ar-SA"/>
        </w:rPr>
        <w:t>批量导入功能，支持批量新增或删除采购单位资金账户白名单。</w:t>
      </w:r>
    </w:p>
    <w:p>
      <w:pPr>
        <w:pStyle w:val="5"/>
        <w:numPr>
          <w:ilvl w:val="0"/>
          <w:numId w:val="10"/>
        </w:numPr>
        <w:ind w:left="1265" w:leftChars="0" w:hanging="425" w:firstLineChars="0"/>
        <w:jc w:val="both"/>
        <w:rPr>
          <w:rFonts w:hint="default" w:ascii="仿宋_GB2312" w:hAnsi="仿宋_GB2312" w:eastAsia="仿宋_GB2312" w:cs="Times New Roman"/>
          <w:b w:val="0"/>
          <w:bCs w:val="0"/>
          <w:color w:val="000000"/>
          <w:kern w:val="2"/>
          <w:sz w:val="32"/>
          <w:szCs w:val="28"/>
          <w:lang w:val="en-US" w:eastAsia="zh-CN" w:bidi="ar-SA"/>
        </w:rPr>
      </w:pPr>
      <w:r>
        <w:rPr>
          <w:rFonts w:hint="eastAsia" w:ascii="仿宋_GB2312" w:hAnsi="仿宋_GB2312" w:eastAsia="仿宋_GB2312" w:cs="Times New Roman"/>
          <w:b w:val="0"/>
          <w:bCs w:val="0"/>
          <w:color w:val="000000"/>
          <w:kern w:val="2"/>
          <w:sz w:val="32"/>
          <w:szCs w:val="28"/>
          <w:lang w:val="en-US" w:eastAsia="zh-CN" w:bidi="ar-SA"/>
        </w:rPr>
        <w:t>调用平安银行“清分编码白名单账户维护”接口，将白名单维护信息传平安银行</w:t>
      </w:r>
      <w:r>
        <w:rPr>
          <w:rFonts w:hint="eastAsia" w:cs="Times New Roman"/>
          <w:b w:val="0"/>
          <w:bCs w:val="0"/>
          <w:color w:val="000000"/>
          <w:kern w:val="2"/>
          <w:sz w:val="32"/>
          <w:szCs w:val="28"/>
          <w:lang w:val="en-US" w:eastAsia="zh-CN" w:bidi="ar-SA"/>
        </w:rPr>
        <w:t>。</w:t>
      </w:r>
    </w:p>
    <w:p>
      <w:pPr>
        <w:rPr>
          <w:rFonts w:hint="default"/>
          <w:lang w:val="en-US" w:eastAsia="zh-CN"/>
        </w:rPr>
      </w:pPr>
    </w:p>
    <w:p>
      <w:pPr>
        <w:pStyle w:val="5"/>
        <w:ind w:left="0" w:leftChars="0" w:firstLine="0" w:firstLineChars="0"/>
        <w:jc w:val="both"/>
        <w:rPr>
          <w:rFonts w:hint="default"/>
          <w:lang w:val="en-US" w:eastAsia="zh-CN"/>
        </w:rPr>
      </w:pPr>
    </w:p>
    <w:p>
      <w:pPr>
        <w:rPr>
          <w:rFonts w:hint="default"/>
          <w:lang w:val="en-US" w:eastAsia="zh-CN"/>
        </w:rPr>
      </w:pPr>
    </w:p>
    <w:p>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7FBEA"/>
    <w:multiLevelType w:val="singleLevel"/>
    <w:tmpl w:val="C117FBEA"/>
    <w:lvl w:ilvl="0" w:tentative="0">
      <w:start w:val="1"/>
      <w:numFmt w:val="chineseCounting"/>
      <w:pStyle w:val="14"/>
      <w:suff w:val="nothing"/>
      <w:lvlText w:val="（%1）"/>
      <w:lvlJc w:val="left"/>
      <w:rPr>
        <w:rFonts w:hint="eastAsia"/>
      </w:rPr>
    </w:lvl>
  </w:abstractNum>
  <w:abstractNum w:abstractNumId="1">
    <w:nsid w:val="D741EC07"/>
    <w:multiLevelType w:val="singleLevel"/>
    <w:tmpl w:val="D741EC07"/>
    <w:lvl w:ilvl="0" w:tentative="0">
      <w:start w:val="1"/>
      <w:numFmt w:val="decimal"/>
      <w:lvlText w:val="(%1)"/>
      <w:lvlJc w:val="left"/>
      <w:pPr>
        <w:tabs>
          <w:tab w:val="left" w:pos="840"/>
        </w:tabs>
        <w:ind w:left="1265" w:hanging="425"/>
      </w:pPr>
      <w:rPr>
        <w:rFonts w:hint="default"/>
      </w:rPr>
    </w:lvl>
  </w:abstractNum>
  <w:abstractNum w:abstractNumId="2">
    <w:nsid w:val="ED43F517"/>
    <w:multiLevelType w:val="singleLevel"/>
    <w:tmpl w:val="ED43F517"/>
    <w:lvl w:ilvl="0" w:tentative="0">
      <w:start w:val="2"/>
      <w:numFmt w:val="chineseCounting"/>
      <w:suff w:val="nothing"/>
      <w:lvlText w:val="%1、"/>
      <w:lvlJc w:val="left"/>
      <w:rPr>
        <w:rFonts w:hint="eastAsia"/>
      </w:rPr>
    </w:lvl>
  </w:abstractNum>
  <w:abstractNum w:abstractNumId="3">
    <w:nsid w:val="099CD21E"/>
    <w:multiLevelType w:val="singleLevel"/>
    <w:tmpl w:val="099CD21E"/>
    <w:lvl w:ilvl="0" w:tentative="0">
      <w:start w:val="1"/>
      <w:numFmt w:val="decimal"/>
      <w:lvlText w:val="(%1)"/>
      <w:lvlJc w:val="left"/>
      <w:pPr>
        <w:tabs>
          <w:tab w:val="left" w:pos="840"/>
        </w:tabs>
        <w:ind w:left="1265" w:hanging="425"/>
      </w:pPr>
      <w:rPr>
        <w:rFonts w:hint="default"/>
      </w:rPr>
    </w:lvl>
  </w:abstractNum>
  <w:abstractNum w:abstractNumId="4">
    <w:nsid w:val="2CE137B6"/>
    <w:multiLevelType w:val="singleLevel"/>
    <w:tmpl w:val="2CE137B6"/>
    <w:lvl w:ilvl="0" w:tentative="0">
      <w:start w:val="1"/>
      <w:numFmt w:val="decimal"/>
      <w:lvlText w:val="(%1)"/>
      <w:lvlJc w:val="left"/>
      <w:pPr>
        <w:tabs>
          <w:tab w:val="left" w:pos="840"/>
        </w:tabs>
        <w:ind w:left="1265" w:hanging="425"/>
      </w:pPr>
      <w:rPr>
        <w:rFonts w:hint="default"/>
      </w:rPr>
    </w:lvl>
  </w:abstractNum>
  <w:abstractNum w:abstractNumId="5">
    <w:nsid w:val="3365729B"/>
    <w:multiLevelType w:val="singleLevel"/>
    <w:tmpl w:val="3365729B"/>
    <w:lvl w:ilvl="0" w:tentative="0">
      <w:start w:val="1"/>
      <w:numFmt w:val="chineseCounting"/>
      <w:pStyle w:val="13"/>
      <w:suff w:val="nothing"/>
      <w:lvlText w:val="%1、"/>
      <w:lvlJc w:val="left"/>
      <w:rPr>
        <w:rFonts w:hint="eastAsia"/>
      </w:rPr>
    </w:lvl>
  </w:abstractNum>
  <w:abstractNum w:abstractNumId="6">
    <w:nsid w:val="54F7454C"/>
    <w:multiLevelType w:val="multilevel"/>
    <w:tmpl w:val="54F7454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5CCB97F8"/>
    <w:multiLevelType w:val="singleLevel"/>
    <w:tmpl w:val="5CCB97F8"/>
    <w:lvl w:ilvl="0" w:tentative="0">
      <w:start w:val="1"/>
      <w:numFmt w:val="decimal"/>
      <w:lvlText w:val="(%1)"/>
      <w:lvlJc w:val="left"/>
      <w:pPr>
        <w:tabs>
          <w:tab w:val="left" w:pos="840"/>
        </w:tabs>
        <w:ind w:left="1265" w:hanging="425"/>
      </w:pPr>
      <w:rPr>
        <w:rFonts w:hint="default"/>
      </w:rPr>
    </w:lvl>
  </w:abstractNum>
  <w:abstractNum w:abstractNumId="8">
    <w:nsid w:val="5F5CCA52"/>
    <w:multiLevelType w:val="multilevel"/>
    <w:tmpl w:val="5F5CCA5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9">
    <w:nsid w:val="7B400039"/>
    <w:multiLevelType w:val="singleLevel"/>
    <w:tmpl w:val="7B400039"/>
    <w:lvl w:ilvl="0" w:tentative="0">
      <w:start w:val="1"/>
      <w:numFmt w:val="chineseCounting"/>
      <w:suff w:val="nothing"/>
      <w:lvlText w:val="%1、"/>
      <w:lvlJc w:val="left"/>
      <w:rPr>
        <w:rFonts w:hint="eastAsia"/>
      </w:rPr>
    </w:lvl>
  </w:abstractNum>
  <w:num w:numId="1">
    <w:abstractNumId w:val="5"/>
  </w:num>
  <w:num w:numId="2">
    <w:abstractNumId w:val="0"/>
  </w:num>
  <w:num w:numId="3">
    <w:abstractNumId w:val="9"/>
  </w:num>
  <w:num w:numId="4">
    <w:abstractNumId w:val="6"/>
  </w:num>
  <w:num w:numId="5">
    <w:abstractNumId w:val="7"/>
  </w:num>
  <w:num w:numId="6">
    <w:abstractNumId w:val="2"/>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17138"/>
    <w:rsid w:val="027D6C91"/>
    <w:rsid w:val="065232EA"/>
    <w:rsid w:val="0B6131F9"/>
    <w:rsid w:val="0C4E5BBE"/>
    <w:rsid w:val="0E720A89"/>
    <w:rsid w:val="0FB722BE"/>
    <w:rsid w:val="13D749A0"/>
    <w:rsid w:val="164235FA"/>
    <w:rsid w:val="17413EFC"/>
    <w:rsid w:val="17632974"/>
    <w:rsid w:val="17BD312B"/>
    <w:rsid w:val="18A6717D"/>
    <w:rsid w:val="1AFB480A"/>
    <w:rsid w:val="1D5C5726"/>
    <w:rsid w:val="1D8F0099"/>
    <w:rsid w:val="1EB145E3"/>
    <w:rsid w:val="25186BC6"/>
    <w:rsid w:val="25DC7BF4"/>
    <w:rsid w:val="2A583806"/>
    <w:rsid w:val="2ABE1367"/>
    <w:rsid w:val="2BB77E3B"/>
    <w:rsid w:val="2D474652"/>
    <w:rsid w:val="2DAD7A40"/>
    <w:rsid w:val="2DBF4E1C"/>
    <w:rsid w:val="30C3128A"/>
    <w:rsid w:val="31BB79DE"/>
    <w:rsid w:val="31F14A27"/>
    <w:rsid w:val="33D5275A"/>
    <w:rsid w:val="34C65624"/>
    <w:rsid w:val="35646AD6"/>
    <w:rsid w:val="36273F67"/>
    <w:rsid w:val="38CD2F41"/>
    <w:rsid w:val="3A700692"/>
    <w:rsid w:val="3A8240AC"/>
    <w:rsid w:val="3A935D24"/>
    <w:rsid w:val="3B6049A3"/>
    <w:rsid w:val="3D003E94"/>
    <w:rsid w:val="43D76DDC"/>
    <w:rsid w:val="467A73AF"/>
    <w:rsid w:val="47EF2794"/>
    <w:rsid w:val="483D0AB1"/>
    <w:rsid w:val="4A737F34"/>
    <w:rsid w:val="4A7F68A7"/>
    <w:rsid w:val="4AE17138"/>
    <w:rsid w:val="4AE95975"/>
    <w:rsid w:val="4B9F3E1E"/>
    <w:rsid w:val="4D07262D"/>
    <w:rsid w:val="4E6B55B6"/>
    <w:rsid w:val="51A87F87"/>
    <w:rsid w:val="52026D6D"/>
    <w:rsid w:val="522C21A7"/>
    <w:rsid w:val="52F421A7"/>
    <w:rsid w:val="551625C6"/>
    <w:rsid w:val="55A958D9"/>
    <w:rsid w:val="57204800"/>
    <w:rsid w:val="572A2B91"/>
    <w:rsid w:val="580821BC"/>
    <w:rsid w:val="5BC776DF"/>
    <w:rsid w:val="5D9D2B26"/>
    <w:rsid w:val="5FEA016C"/>
    <w:rsid w:val="61C940B5"/>
    <w:rsid w:val="644A33BC"/>
    <w:rsid w:val="647635E8"/>
    <w:rsid w:val="64A123A9"/>
    <w:rsid w:val="64D84A81"/>
    <w:rsid w:val="690A6A65"/>
    <w:rsid w:val="69953B8F"/>
    <w:rsid w:val="6A154999"/>
    <w:rsid w:val="6BC859B7"/>
    <w:rsid w:val="6C7C7BAF"/>
    <w:rsid w:val="6D8F71CE"/>
    <w:rsid w:val="70157E72"/>
    <w:rsid w:val="70BB7381"/>
    <w:rsid w:val="715C0189"/>
    <w:rsid w:val="73D31E97"/>
    <w:rsid w:val="74A36CEC"/>
    <w:rsid w:val="7780039E"/>
    <w:rsid w:val="792D54DA"/>
    <w:rsid w:val="7CCB17A6"/>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4">
    <w:name w:val="heading 1"/>
    <w:basedOn w:val="1"/>
    <w:next w:val="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uppressAutoHyphens/>
      <w:spacing w:line="360" w:lineRule="auto"/>
      <w:ind w:firstLine="426"/>
    </w:pPr>
    <w:rPr>
      <w:rFonts w:ascii="宋体" w:hAnsi="宋体" w:eastAsia="宋体"/>
      <w:snapToGrid/>
      <w:color w:val="FF00FF"/>
      <w:sz w:val="24"/>
      <w:szCs w:val="21"/>
    </w:rPr>
  </w:style>
  <w:style w:type="paragraph" w:styleId="5">
    <w:name w:val="index 8"/>
    <w:basedOn w:val="1"/>
    <w:next w:val="1"/>
    <w:qFormat/>
    <w:uiPriority w:val="0"/>
    <w:pPr>
      <w:ind w:left="2940"/>
      <w:jc w:val="center"/>
    </w:pPr>
  </w:style>
  <w:style w:type="paragraph" w:styleId="6">
    <w:name w:val="Normal Indent"/>
    <w:basedOn w:val="1"/>
    <w:qFormat/>
    <w:uiPriority w:val="0"/>
    <w:pPr>
      <w:ind w:firstLine="42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月报正文"/>
    <w:basedOn w:val="1"/>
    <w:qFormat/>
    <w:uiPriority w:val="0"/>
    <w:pPr>
      <w:spacing w:line="600" w:lineRule="exact"/>
      <w:ind w:firstLine="640" w:firstLineChars="200"/>
      <w:jc w:val="left"/>
    </w:pPr>
    <w:rPr>
      <w:rFonts w:hint="eastAsia" w:ascii="仿宋_GB2312" w:hAnsi="仿宋_GB2312" w:eastAsia="仿宋_GB2312"/>
      <w:sz w:val="32"/>
    </w:rPr>
  </w:style>
  <w:style w:type="paragraph" w:customStyle="1" w:styleId="13">
    <w:name w:val="月报一级标题"/>
    <w:basedOn w:val="1"/>
    <w:qFormat/>
    <w:uiPriority w:val="0"/>
    <w:pPr>
      <w:numPr>
        <w:ilvl w:val="0"/>
        <w:numId w:val="1"/>
      </w:numPr>
      <w:ind w:firstLine="640"/>
      <w:jc w:val="left"/>
      <w:outlineLvl w:val="0"/>
    </w:pPr>
    <w:rPr>
      <w:rFonts w:hint="eastAsia" w:ascii="黑体" w:hAnsi="黑体" w:eastAsia="黑体"/>
      <w:sz w:val="32"/>
    </w:rPr>
  </w:style>
  <w:style w:type="paragraph" w:customStyle="1" w:styleId="14">
    <w:name w:val="月报二级标题"/>
    <w:basedOn w:val="1"/>
    <w:qFormat/>
    <w:uiPriority w:val="0"/>
    <w:pPr>
      <w:widowControl/>
      <w:numPr>
        <w:ilvl w:val="0"/>
        <w:numId w:val="2"/>
      </w:numPr>
      <w:ind w:firstLine="640" w:firstLineChars="200"/>
      <w:outlineLvl w:val="1"/>
    </w:pPr>
    <w:rPr>
      <w:rFonts w:hint="eastAsia" w:ascii="楷体" w:hAnsi="楷体" w:eastAsia="楷体"/>
      <w:b/>
      <w:kern w:val="18"/>
      <w:sz w:val="32"/>
      <w:lang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2023-04-25T07:25:00Z</dcterms:created>
  <dc:creator>关宇晗</dc:creator>
  <cp:lastModifiedBy>李奔</cp:lastModifiedBy>
  <dcterms:modified xsi:type="dcterms:W3CDTF">2023-07-14T07:40:12Z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9BE527299F354F838E525329D11E5F50</vt:lpwstr>
  </property>
</Properties>
</file>