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国能e购将于2023年0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16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一、国能e购非招标采购功能优化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失信处置名单相关制度变动</w:t>
      </w:r>
    </w:p>
    <w:p>
      <w:p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商城首页非招标模块制度名称调整，并增加制度链接；预冻结自动生成的失信提报子单（供应商），制度依据字段调整制度名称。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评审专家库系统优化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采购管理--评审专家管理--综合查询列表页面，查询条件增加“入库时间”及“专家类别”字段，可按入库时间及专家类别进行过滤查询；点击“导出”按钮，一次性导出最大数据量调整到2000；隐藏“查看”按钮；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 w:cs="Times New Roman"/>
          <w:b/>
          <w:bCs/>
          <w:lang w:val="en-US" w:eastAsia="zh-CN"/>
        </w:rPr>
      </w:pPr>
      <w:r>
        <w:rPr>
          <w:rFonts w:hint="default" w:cs="Times New Roman"/>
          <w:b/>
          <w:bCs/>
          <w:lang w:val="en-US" w:eastAsia="zh-CN"/>
        </w:rPr>
        <w:t>客商统一门户功能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适配因生态协作平台与e购库</w:t>
      </w:r>
      <w:r>
        <w:rPr>
          <w:rFonts w:hint="eastAsia"/>
          <w:lang w:val="en-US" w:eastAsia="zh-CN"/>
        </w:rPr>
        <w:t>银行联行号差异导致落库失败问题；增加注册地址、企业类型、股份组成、国资属性、上市板块、股票代码映射落库；限制</w:t>
      </w:r>
      <w:r>
        <w:rPr>
          <w:rFonts w:hint="eastAsia"/>
          <w:highlight w:val="none"/>
          <w:lang w:val="en-US" w:eastAsia="zh-CN"/>
        </w:rPr>
        <w:t>生态协作平台同步过来的业务账号在e购侧变更数据信息。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适配生态协作平台对原有数据推送至e拍平台的落库问题：e购、IBS等系统原有未审核的数据推送至e拍平台时，不再判断审核单位，数据同步接收，同时自动创建登录账号。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国能e购商城功能优化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事中调价首付款扣款模式调整</w:t>
      </w:r>
    </w:p>
    <w:p>
      <w:p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商城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执行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138号文扣款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模式的协议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，将事中调价的订单调价完成且供应商确认订单后重新计算首付款，并对采购单位进行多退少补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增加光伏标识</w:t>
      </w:r>
    </w:p>
    <w:p>
      <w:pPr>
        <w:pStyle w:val="8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商城协议</w:t>
      </w:r>
      <w:r>
        <w:rPr>
          <w:rFonts w:hint="eastAsia" w:eastAsia="仿宋_GB2312" w:cs="仿宋_GB2312"/>
          <w:color w:val="000000"/>
          <w:kern w:val="2"/>
          <w:sz w:val="32"/>
          <w:szCs w:val="32"/>
          <w:lang w:val="en-US" w:eastAsia="zh-CN" w:bidi="ar-SA"/>
        </w:rPr>
        <w:t>增加产品标识，协议变更支持对产品标识的修改。可按产品标识进行商城协议、订单、结算及报表的查询及数据统计分析。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产品专家库功能优化</w:t>
      </w:r>
    </w:p>
    <w:p>
      <w:pPr>
        <w:pStyle w:val="8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采购管理--产品专家库--产品专家综合查询，查询条件增加“入库时间”及“参评时间”，可按入库时间及参评时间进行过滤查询；点击“导出”按钮，一次性导出最大数据量调整到2000条；“专业分类”支持模糊搜索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智能云评审</w:t>
      </w:r>
    </w:p>
    <w:p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智能云评审一期修复缺陷，清单如下</w:t>
      </w:r>
    </w:p>
    <w:tbl>
      <w:tblPr>
        <w:tblStyle w:val="9"/>
        <w:tblW w:w="81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800"/>
        <w:gridCol w:w="5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No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所属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中心</w:t>
            </w:r>
          </w:p>
        </w:tc>
        <w:tc>
          <w:tcPr>
            <w:tcW w:w="5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概要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在线编辑，商务文件报价汇总表，清空报价人名称“我是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报价人名称”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智能评审结果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-供应商评审详情，各供应商待复核数据总览与详情不对应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当报价质保期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&gt;询价质保期时，评审报告应为合格，目前结果是“不合格”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智能云评审项目，供应商的报价文件无法归档（归档资料中文件夹为空）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印章识别“包头市裕兴贸易有限责任公司”识别成了“北京三三亚堂文化传播有限公司”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修改技术范本3.12专用部分设备需求表上方富文本为默认无需响应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Calibri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kern w:val="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技术商务定性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优化技术商务定性CHN导入逻辑，交货要求表、产品资质要求表、设备需求表导入chn后，相同物资将不会再置空</w:t>
            </w:r>
          </w:p>
        </w:tc>
      </w:tr>
    </w:tbl>
    <w:p>
      <w:pPr>
        <w:pStyle w:val="8"/>
        <w:rPr>
          <w:rFonts w:hint="default"/>
          <w:lang w:val="en-US"/>
        </w:rPr>
      </w:pP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0111B"/>
    <w:multiLevelType w:val="multilevel"/>
    <w:tmpl w:val="BEA011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117FBEA"/>
    <w:multiLevelType w:val="singleLevel"/>
    <w:tmpl w:val="C117FBEA"/>
    <w:lvl w:ilvl="0" w:tentative="0">
      <w:start w:val="1"/>
      <w:numFmt w:val="chineseCounting"/>
      <w:pStyle w:val="13"/>
      <w:suff w:val="nothing"/>
      <w:lvlText w:val="（%1）"/>
      <w:lvlJc w:val="left"/>
      <w:rPr>
        <w:rFonts w:hint="eastAsia"/>
      </w:rPr>
    </w:lvl>
  </w:abstractNum>
  <w:abstractNum w:abstractNumId="2">
    <w:nsid w:val="ED43F517"/>
    <w:multiLevelType w:val="singleLevel"/>
    <w:tmpl w:val="ED43F5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65729B"/>
    <w:multiLevelType w:val="singleLevel"/>
    <w:tmpl w:val="3365729B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abstractNum w:abstractNumId="4">
    <w:nsid w:val="54F7454C"/>
    <w:multiLevelType w:val="multilevel"/>
    <w:tmpl w:val="54F745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8E623AA"/>
    <w:rsid w:val="0B77563F"/>
    <w:rsid w:val="0FB722BE"/>
    <w:rsid w:val="114D6F88"/>
    <w:rsid w:val="13D749A0"/>
    <w:rsid w:val="141D5E0F"/>
    <w:rsid w:val="155B5497"/>
    <w:rsid w:val="164235FA"/>
    <w:rsid w:val="18104A8B"/>
    <w:rsid w:val="1D0C28B4"/>
    <w:rsid w:val="1EB145E3"/>
    <w:rsid w:val="23CE5E4B"/>
    <w:rsid w:val="27D40264"/>
    <w:rsid w:val="2BD51A79"/>
    <w:rsid w:val="2DAD7A40"/>
    <w:rsid w:val="30C3128A"/>
    <w:rsid w:val="33D5275A"/>
    <w:rsid w:val="34EB675E"/>
    <w:rsid w:val="35577112"/>
    <w:rsid w:val="35646AD6"/>
    <w:rsid w:val="3A700692"/>
    <w:rsid w:val="3A8240AC"/>
    <w:rsid w:val="3D003E94"/>
    <w:rsid w:val="3ECA7A13"/>
    <w:rsid w:val="418226F3"/>
    <w:rsid w:val="41BC2E88"/>
    <w:rsid w:val="42CD0EA8"/>
    <w:rsid w:val="46FD0882"/>
    <w:rsid w:val="4A7F68A7"/>
    <w:rsid w:val="4AE17138"/>
    <w:rsid w:val="4B9F3E1E"/>
    <w:rsid w:val="4D07262D"/>
    <w:rsid w:val="4ED04F5B"/>
    <w:rsid w:val="56C51B68"/>
    <w:rsid w:val="572D42EC"/>
    <w:rsid w:val="5F4905E3"/>
    <w:rsid w:val="60642034"/>
    <w:rsid w:val="617E0582"/>
    <w:rsid w:val="642A6467"/>
    <w:rsid w:val="644A33BC"/>
    <w:rsid w:val="65EA5BC3"/>
    <w:rsid w:val="694B10E0"/>
    <w:rsid w:val="69953B8F"/>
    <w:rsid w:val="6D8F71CE"/>
    <w:rsid w:val="6EA604AE"/>
    <w:rsid w:val="70BB7381"/>
    <w:rsid w:val="79C42B56"/>
    <w:rsid w:val="7A770470"/>
    <w:rsid w:val="7B9826D1"/>
    <w:rsid w:val="7CC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line="240" w:lineRule="auto"/>
      <w:ind w:firstLine="420" w:firstLineChars="200"/>
    </w:pPr>
    <w:rPr>
      <w:rFonts w:eastAsiaTheme="minorEastAsia"/>
      <w:sz w:val="28"/>
      <w:szCs w:val="22"/>
    </w:rPr>
  </w:style>
  <w:style w:type="paragraph" w:customStyle="1" w:styleId="11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2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3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mwf41</cp:lastModifiedBy>
  <dcterms:modified xsi:type="dcterms:W3CDTF">2023-06-16T08:14:31Z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C41ABFDF055948C3ADFFD0399BBA5C9B</vt:lpwstr>
  </property>
</Properties>
</file>