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p>
    <w:p>
      <w:pPr>
        <w:rPr>
          <w:rFonts w:hint="eastAsia"/>
          <w:lang w:val="en-US" w:eastAsia="zh-CN"/>
        </w:rPr>
      </w:pPr>
      <w:r>
        <w:rPr>
          <w:rFonts w:ascii="微软雅黑" w:hAnsi="微软雅黑" w:eastAsia="微软雅黑"/>
          <w:color w:val="333333"/>
          <w:sz w:val="22"/>
          <w:szCs w:val="22"/>
        </w:rPr>
        <w:drawing>
          <wp:inline distT="0" distB="0" distL="0" distR="0">
            <wp:extent cx="3486150" cy="847725"/>
            <wp:effectExtent l="0" t="0" r="381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3486150" cy="84772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snapToGrid w:val="0"/>
        <w:spacing w:before="0" w:after="0" w:line="360" w:lineRule="auto"/>
        <w:ind w:right="0" w:firstLineChars="200"/>
        <w:jc w:val="both"/>
        <w:rPr>
          <w:rFonts w:hint="eastAsia" w:ascii="宋体" w:hAnsi="宋体" w:eastAsia="宋体"/>
          <w:b/>
          <w:bCs/>
          <w:color w:val="000000"/>
          <w:sz w:val="52"/>
          <w:szCs w:val="52"/>
          <w:lang w:val="en-US" w:eastAsia="zh-CN"/>
        </w:rPr>
      </w:pPr>
      <w:bookmarkStart w:id="0" w:name="_Toc13878"/>
      <w:bookmarkStart w:id="1" w:name="_Toc29744"/>
      <w:bookmarkStart w:id="2" w:name="_Toc13850"/>
      <w:r>
        <w:rPr>
          <w:rFonts w:ascii="宋体" w:hAnsi="宋体" w:eastAsia="宋体"/>
          <w:b/>
          <w:bCs/>
          <w:color w:val="000000"/>
          <w:sz w:val="52"/>
          <w:szCs w:val="52"/>
        </w:rPr>
        <w:t>国家能源e购</w:t>
      </w:r>
      <w:r>
        <w:rPr>
          <w:rFonts w:hint="eastAsia" w:ascii="宋体" w:hAnsi="宋体" w:eastAsia="宋体"/>
          <w:b/>
          <w:bCs/>
          <w:color w:val="000000"/>
          <w:sz w:val="52"/>
          <w:szCs w:val="52"/>
          <w:lang w:val="en-US" w:eastAsia="zh-CN"/>
        </w:rPr>
        <w:t>协同</w:t>
      </w:r>
      <w:r>
        <w:rPr>
          <w:rFonts w:ascii="宋体" w:hAnsi="宋体" w:eastAsia="宋体"/>
          <w:b/>
          <w:bCs/>
          <w:color w:val="000000"/>
          <w:sz w:val="52"/>
          <w:szCs w:val="52"/>
        </w:rPr>
        <w:t>对账</w:t>
      </w:r>
      <w:bookmarkEnd w:id="0"/>
      <w:r>
        <w:rPr>
          <w:rFonts w:hint="eastAsia" w:ascii="宋体" w:hAnsi="宋体" w:eastAsia="宋体"/>
          <w:b/>
          <w:bCs/>
          <w:color w:val="000000"/>
          <w:sz w:val="52"/>
          <w:szCs w:val="52"/>
          <w:lang w:val="en-US" w:eastAsia="zh-CN"/>
        </w:rPr>
        <w:t>工具</w:t>
      </w:r>
      <w:bookmarkEnd w:id="1"/>
      <w:bookmarkEnd w:id="2"/>
    </w:p>
    <w:p>
      <w:pPr>
        <w:jc w:val="center"/>
        <w:rPr>
          <w:rFonts w:hint="default"/>
          <w:lang w:val="en-US" w:eastAsia="zh-CN"/>
        </w:rPr>
      </w:pPr>
      <w:r>
        <w:rPr>
          <w:rFonts w:hint="eastAsia" w:ascii="宋体" w:hAnsi="宋体" w:eastAsia="宋体"/>
          <w:b/>
          <w:bCs/>
          <w:color w:val="000000"/>
          <w:sz w:val="52"/>
          <w:szCs w:val="52"/>
          <w:lang w:val="en-US" w:eastAsia="zh-CN"/>
        </w:rPr>
        <w:t>操作手册</w:t>
      </w: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both"/>
        <w:rPr>
          <w:rFonts w:hint="eastAsia"/>
          <w:b/>
          <w:bCs/>
          <w:sz w:val="72"/>
          <w:szCs w:val="72"/>
          <w:lang w:val="en-US" w:eastAsia="zh-CN"/>
        </w:rPr>
      </w:pPr>
    </w:p>
    <w:p>
      <w:pPr>
        <w:pStyle w:val="2"/>
        <w:snapToGrid w:val="0"/>
        <w:spacing w:before="0" w:after="0" w:line="360" w:lineRule="auto"/>
        <w:ind w:right="0"/>
        <w:jc w:val="both"/>
        <w:rPr>
          <w:rFonts w:ascii="等线" w:hAnsi="等线" w:eastAsia="等线"/>
          <w:b/>
          <w:bCs/>
          <w:color w:val="000000"/>
          <w:sz w:val="28"/>
          <w:szCs w:val="28"/>
        </w:rPr>
      </w:pPr>
      <w:bookmarkStart w:id="3" w:name="_Toc10694"/>
      <w:bookmarkStart w:id="4" w:name="_Toc8154"/>
      <w:bookmarkStart w:id="5" w:name="_Toc23534"/>
    </w:p>
    <w:p>
      <w:pPr>
        <w:pStyle w:val="2"/>
        <w:snapToGrid w:val="0"/>
        <w:spacing w:before="0" w:after="0" w:line="360" w:lineRule="auto"/>
        <w:ind w:right="0"/>
        <w:jc w:val="center"/>
        <w:rPr>
          <w:rFonts w:ascii="等线" w:hAnsi="等线" w:eastAsia="等线"/>
          <w:b/>
          <w:bCs/>
          <w:color w:val="000000"/>
          <w:sz w:val="28"/>
          <w:szCs w:val="28"/>
        </w:rPr>
      </w:pPr>
      <w:r>
        <w:rPr>
          <w:rFonts w:ascii="等线" w:hAnsi="等线" w:eastAsia="等线"/>
          <w:b/>
          <w:bCs/>
          <w:color w:val="000000"/>
          <w:sz w:val="28"/>
          <w:szCs w:val="28"/>
        </w:rPr>
        <w:t>中科迅联智慧网络科技（北京）有限公司</w:t>
      </w:r>
      <w:bookmarkEnd w:id="3"/>
      <w:bookmarkEnd w:id="4"/>
      <w:bookmarkEnd w:id="5"/>
    </w:p>
    <w:p>
      <w:pPr>
        <w:snapToGrid w:val="0"/>
        <w:spacing w:before="0" w:after="0" w:line="360" w:lineRule="auto"/>
        <w:ind w:right="0" w:firstLineChars="200"/>
        <w:jc w:val="center"/>
        <w:rPr>
          <w:rFonts w:hint="eastAsia"/>
          <w:b/>
          <w:bCs/>
          <w:sz w:val="72"/>
          <w:szCs w:val="72"/>
          <w:lang w:val="en-US" w:eastAsia="zh-CN"/>
        </w:rPr>
      </w:pPr>
      <w:r>
        <w:rPr>
          <w:rFonts w:ascii="等线" w:hAnsi="等线" w:eastAsia="等线"/>
          <w:b/>
          <w:bCs/>
          <w:color w:val="000000"/>
          <w:sz w:val="28"/>
          <w:szCs w:val="28"/>
        </w:rPr>
        <w:t>2022年1</w:t>
      </w:r>
      <w:r>
        <w:rPr>
          <w:rFonts w:hint="eastAsia" w:ascii="等线" w:hAnsi="等线" w:eastAsia="等线"/>
          <w:b/>
          <w:bCs/>
          <w:color w:val="000000"/>
          <w:sz w:val="28"/>
          <w:szCs w:val="28"/>
          <w:lang w:val="en-US" w:eastAsia="zh-CN"/>
        </w:rPr>
        <w:t>2</w:t>
      </w:r>
      <w:r>
        <w:rPr>
          <w:rFonts w:ascii="等线" w:hAnsi="等线" w:eastAsia="等线"/>
          <w:b/>
          <w:bCs/>
          <w:color w:val="000000"/>
          <w:sz w:val="28"/>
          <w:szCs w:val="28"/>
        </w:rPr>
        <w:t>月</w:t>
      </w:r>
    </w:p>
    <w:p>
      <w:pPr>
        <w:pStyle w:val="2"/>
        <w:numPr>
          <w:ilvl w:val="0"/>
          <w:numId w:val="1"/>
        </w:numPr>
        <w:bidi w:val="0"/>
        <w:rPr>
          <w:rFonts w:hint="eastAsia"/>
          <w:lang w:val="en-US" w:eastAsia="zh-CN"/>
        </w:rPr>
      </w:pPr>
      <w:r>
        <w:rPr>
          <w:rFonts w:hint="eastAsia"/>
          <w:lang w:val="en-US" w:eastAsia="zh-CN"/>
        </w:rPr>
        <w:t>登录</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eastAsia"/>
          <w:b w:val="0"/>
          <w:bCs w:val="0"/>
          <w:sz w:val="24"/>
          <w:szCs w:val="24"/>
          <w:lang w:val="en-US" w:eastAsia="zh-CN"/>
        </w:rPr>
      </w:pPr>
      <w:r>
        <w:rPr>
          <w:rFonts w:hint="eastAsia"/>
          <w:b w:val="0"/>
          <w:bCs w:val="0"/>
          <w:sz w:val="24"/>
          <w:szCs w:val="24"/>
          <w:lang w:val="en-US" w:eastAsia="zh-CN"/>
        </w:rPr>
        <w:t>使用浏览器登录商城网站（www.neep.shop），输入账号、密码、验证码等信息。</w:t>
      </w:r>
    </w:p>
    <w:p>
      <w:pPr>
        <w:numPr>
          <w:ilvl w:val="0"/>
          <w:numId w:val="0"/>
        </w:numPr>
        <w:jc w:val="left"/>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266690" cy="2474595"/>
            <wp:effectExtent l="0" t="0" r="6350" b="9525"/>
            <wp:docPr id="1" name="图片 1" descr="167120318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1203183641"/>
                    <pic:cNvPicPr>
                      <a:picLocks noChangeAspect="1"/>
                    </pic:cNvPicPr>
                  </pic:nvPicPr>
                  <pic:blipFill>
                    <a:blip r:embed="rId5"/>
                    <a:stretch>
                      <a:fillRect/>
                    </a:stretch>
                  </pic:blipFill>
                  <pic:spPr>
                    <a:xfrm>
                      <a:off x="0" y="0"/>
                      <a:ext cx="5266690" cy="247459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default"/>
          <w:b w:val="0"/>
          <w:bCs w:val="0"/>
          <w:sz w:val="24"/>
          <w:szCs w:val="24"/>
          <w:lang w:val="en-US" w:eastAsia="zh-CN"/>
        </w:rPr>
      </w:pPr>
      <w:r>
        <w:rPr>
          <w:rFonts w:hint="eastAsia"/>
          <w:b w:val="0"/>
          <w:bCs w:val="0"/>
          <w:sz w:val="24"/>
          <w:szCs w:val="24"/>
          <w:lang w:val="en-US" w:eastAsia="zh-CN"/>
        </w:rPr>
        <w:t>在“我的e购-结算管理-配送业务开票申请-开票申请管理”菜单下，点击“协同平台”按钮进入系统。若未找到该菜单，可联系本公司管理员账号进行“结算员”角色授权。</w:t>
      </w:r>
    </w:p>
    <w:p>
      <w:pPr>
        <w:numPr>
          <w:ilvl w:val="0"/>
          <w:numId w:val="0"/>
        </w:numPr>
        <w:jc w:val="left"/>
      </w:pPr>
      <w:r>
        <w:drawing>
          <wp:inline distT="0" distB="0" distL="114300" distR="114300">
            <wp:extent cx="5266690" cy="2474595"/>
            <wp:effectExtent l="0" t="0" r="635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6690" cy="2474595"/>
                    </a:xfrm>
                    <a:prstGeom prst="rect">
                      <a:avLst/>
                    </a:prstGeom>
                    <a:noFill/>
                    <a:ln>
                      <a:noFill/>
                    </a:ln>
                  </pic:spPr>
                </pic:pic>
              </a:graphicData>
            </a:graphic>
          </wp:inline>
        </w:drawing>
      </w:r>
    </w:p>
    <w:p>
      <w:pPr>
        <w:numPr>
          <w:ilvl w:val="0"/>
          <w:numId w:val="0"/>
        </w:numPr>
        <w:jc w:val="left"/>
      </w:pPr>
    </w:p>
    <w:p>
      <w:pPr>
        <w:numPr>
          <w:ilvl w:val="0"/>
          <w:numId w:val="0"/>
        </w:numPr>
        <w:jc w:val="left"/>
      </w:pPr>
      <w:r>
        <w:drawing>
          <wp:inline distT="0" distB="0" distL="114300" distR="114300">
            <wp:extent cx="5266690" cy="2474595"/>
            <wp:effectExtent l="0" t="0" r="635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6690" cy="2474595"/>
                    </a:xfrm>
                    <a:prstGeom prst="rect">
                      <a:avLst/>
                    </a:prstGeom>
                    <a:noFill/>
                    <a:ln>
                      <a:noFill/>
                    </a:ln>
                  </pic:spPr>
                </pic:pic>
              </a:graphicData>
            </a:graphic>
          </wp:inline>
        </w:drawing>
      </w:r>
    </w:p>
    <w:p>
      <w:pPr>
        <w:pStyle w:val="2"/>
        <w:numPr>
          <w:ilvl w:val="0"/>
          <w:numId w:val="1"/>
        </w:numPr>
        <w:bidi w:val="0"/>
        <w:rPr>
          <w:rFonts w:hint="eastAsia"/>
          <w:lang w:val="en-US" w:eastAsia="zh-CN"/>
        </w:rPr>
      </w:pPr>
      <w:r>
        <w:rPr>
          <w:rFonts w:hint="eastAsia"/>
          <w:lang w:val="en-US" w:eastAsia="zh-CN"/>
        </w:rPr>
        <w:t>采购单位对账管理</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业务账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业务账是将2022年底前北配已开具发票与用户在商城完成订单结算情况进行关联匹配，用于用户进行记账核对。凡在业务账中展示的发票数据均需完成发票记账核实，针对有误信息进行拒绝以便线下完成核对和调账等处理。</w:t>
      </w:r>
    </w:p>
    <w:p>
      <w:pPr>
        <w:numPr>
          <w:ilvl w:val="0"/>
          <w:numId w:val="0"/>
        </w:num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1.数据确认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（1）确认：进入对账管理页面查看行信息，针对无误的数据可点击行操作“确认”按钮，则该条信息状态变更为“已确认”，且操作状态将同步至北配系统。（注意：已确认状态的数据不可再次进行操作。）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drawing>
          <wp:inline distT="0" distB="0" distL="114300" distR="114300">
            <wp:extent cx="5266690" cy="2570480"/>
            <wp:effectExtent l="0" t="0" r="635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（2）批量确认：可通过列表前的选择框进行勾选，点击“批量确认”按钮，则被选中信息状态变更为“已确认”，且该数据不可再次进行操作。（注意：已确认状态的数据不可再次进行操作。）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drawing>
          <wp:inline distT="0" distB="0" distL="114300" distR="114300">
            <wp:extent cx="5266690" cy="2570480"/>
            <wp:effectExtent l="0" t="0" r="635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val="en-US" w:eastAsia="zh-CN"/>
        </w:rPr>
      </w:pPr>
      <w:r>
        <w:rPr>
          <w:rFonts w:hint="eastAsia"/>
          <w:sz w:val="24"/>
          <w:szCs w:val="24"/>
          <w:lang w:val="en-US" w:eastAsia="zh-CN"/>
        </w:rPr>
        <w:t>（3）导出确认：点击“导出数据”按钮，则当前筛选条件下，列表中的全量数据以excel文件下载至本地，用户可以在excel里进行数据查看和操作状态维护。维护完毕后点击“导入数据”按钮，将填充好状态的excel原表导入系统，对应数据状态将进行变更。（注意：未维护状态的数据，不可进行导入）</w:t>
      </w:r>
      <w:r>
        <w:drawing>
          <wp:inline distT="0" distB="0" distL="114300" distR="114300">
            <wp:extent cx="5266690" cy="2570480"/>
            <wp:effectExtent l="0" t="0" r="6350" b="50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numPr>
          <w:ilvl w:val="0"/>
          <w:numId w:val="0"/>
        </w:numPr>
        <w:rPr>
          <w:rFonts w:hint="default"/>
          <w:lang w:val="en-US" w:eastAsia="zh-CN"/>
        </w:rPr>
      </w:pPr>
      <w:r>
        <w:rPr>
          <w:rFonts w:hint="default"/>
          <w:lang w:val="en-US" w:eastAsia="zh-CN"/>
        </w:rPr>
        <w:drawing>
          <wp:inline distT="0" distB="0" distL="114300" distR="114300">
            <wp:extent cx="5270500" cy="2046605"/>
            <wp:effectExtent l="0" t="0" r="2540" b="10795"/>
            <wp:docPr id="4" name="图片 4" descr="fc38d805274afcd303baa6f62a66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c38d805274afcd303baa6f62a668cf"/>
                    <pic:cNvPicPr>
                      <a:picLocks noChangeAspect="1"/>
                    </pic:cNvPicPr>
                  </pic:nvPicPr>
                  <pic:blipFill>
                    <a:blip r:embed="rId11"/>
                    <a:stretch>
                      <a:fillRect/>
                    </a:stretch>
                  </pic:blipFill>
                  <pic:spPr>
                    <a:xfrm>
                      <a:off x="0" y="0"/>
                      <a:ext cx="5270500" cy="2046605"/>
                    </a:xfrm>
                    <a:prstGeom prst="rect">
                      <a:avLst/>
                    </a:prstGeom>
                  </pic:spPr>
                </pic:pic>
              </a:graphicData>
            </a:graphic>
          </wp:inline>
        </w:drawing>
      </w:r>
    </w:p>
    <w:p>
      <w:pPr>
        <w:numPr>
          <w:ilvl w:val="0"/>
          <w:numId w:val="0"/>
        </w:numPr>
      </w:pPr>
      <w:r>
        <w:drawing>
          <wp:inline distT="0" distB="0" distL="114300" distR="114300">
            <wp:extent cx="5262245" cy="2475865"/>
            <wp:effectExtent l="0" t="0" r="10795" b="825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2"/>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highlight w:val="yellow"/>
          <w:lang w:val="en-US" w:eastAsia="zh-CN"/>
        </w:rPr>
      </w:pPr>
      <w:r>
        <w:rPr>
          <w:rFonts w:hint="eastAsia"/>
          <w:sz w:val="24"/>
          <w:szCs w:val="24"/>
          <w:highlight w:val="yellow"/>
          <w:lang w:val="en-US" w:eastAsia="zh-CN"/>
        </w:rPr>
        <w:t>（4）导入已抵扣发票确认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FF0000"/>
          <w:sz w:val="24"/>
          <w:szCs w:val="24"/>
          <w:lang w:val="en-US" w:eastAsia="zh-CN"/>
        </w:rPr>
      </w:pPr>
      <w:r>
        <w:rPr>
          <w:rFonts w:hint="eastAsia"/>
          <w:sz w:val="24"/>
          <w:szCs w:val="24"/>
          <w:lang w:val="en-US" w:eastAsia="zh-CN"/>
        </w:rPr>
        <w:t>通过从税局导出已抵扣发票数据，在“对账管理-导入记录”点击“导入数据”，可以下载模板或直接上传已维护好的excel信息。</w:t>
      </w:r>
      <w:r>
        <w:rPr>
          <w:rFonts w:hint="eastAsia"/>
          <w:color w:val="FF0000"/>
          <w:sz w:val="24"/>
          <w:szCs w:val="24"/>
          <w:lang w:val="en-US" w:eastAsia="zh-CN"/>
        </w:rPr>
        <w:t>（注意：发票代码、发票号码、开票日期、金额、用途为必填项）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CN"/>
        </w:rPr>
      </w:pPr>
      <w:r>
        <w:rPr>
          <w:rFonts w:hint="eastAsia"/>
          <w:sz w:val="24"/>
          <w:szCs w:val="24"/>
          <w:lang w:val="en-US" w:eastAsia="zh-CN"/>
        </w:rPr>
        <w:t>导入成功后，导入记录表将记录excel的上传状态和表格内容的执行情况，针对执行有误的数据可以在描述列查看原因。点击“导出原文件”支持原excel文件下载。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CN"/>
        </w:rPr>
      </w:pPr>
      <w:r>
        <w:rPr>
          <w:rFonts w:hint="eastAsia"/>
          <w:sz w:val="24"/>
          <w:szCs w:val="24"/>
          <w:lang w:val="en-US" w:eastAsia="zh-CN"/>
        </w:rPr>
        <w:t>针对导入的已抵扣发票数据，系统将自动与业务账中的发票关联，关联成功则业务账中该发票变更为已抵扣状态，同时业务账中的发票数据自动变为已确认，无需再进行手动确认。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pPr>
      <w:r>
        <w:drawing>
          <wp:inline distT="0" distB="0" distL="114300" distR="114300">
            <wp:extent cx="5266690" cy="2474595"/>
            <wp:effectExtent l="0" t="0" r="6350"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5266690" cy="24745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lang w:val="en-US" w:eastAsia="zh-CN"/>
        </w:rPr>
      </w:pPr>
      <w:r>
        <w:drawing>
          <wp:inline distT="0" distB="0" distL="114300" distR="114300">
            <wp:extent cx="5262880" cy="1464945"/>
            <wp:effectExtent l="0" t="0" r="10160"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5262880" cy="1464945"/>
                    </a:xfrm>
                    <a:prstGeom prst="rect">
                      <a:avLst/>
                    </a:prstGeom>
                    <a:noFill/>
                    <a:ln>
                      <a:noFill/>
                    </a:ln>
                  </pic:spPr>
                </pic:pic>
              </a:graphicData>
            </a:graphic>
          </wp:inline>
        </w:drawing>
      </w:r>
    </w:p>
    <w:p>
      <w:pPr>
        <w:numPr>
          <w:numId w:val="0"/>
        </w:numPr>
        <w:rPr>
          <w:rFonts w:hint="default"/>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数据拒绝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CN"/>
        </w:rPr>
      </w:pPr>
      <w:r>
        <w:rPr>
          <w:rFonts w:hint="eastAsia"/>
          <w:sz w:val="24"/>
          <w:szCs w:val="24"/>
          <w:lang w:val="en-US" w:eastAsia="zh-CN"/>
        </w:rPr>
        <w:t>针对业务账拒绝类型的数据，请按照以下描述规范化填写，以便北配进行核对。示例如下：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A.发票未收到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B.发已收到未入账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C.发票记账错误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D.其他错误，并说明情况（如有支持材料请一并打包线下发送至北配）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1）拒绝：进入对账管理页面查看行信息，针对有误的数据可点击行操作“拒绝”按钮，系统将弹出侧边框，填入拒绝原因保存后，则该条信息状态变更为“已拒绝”，且操作状态将同步至北配系统。针对已拒绝的数据，用户可以进行二次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570480"/>
            <wp:effectExtent l="0" t="0" r="6350" b="50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2245" cy="2475865"/>
            <wp:effectExtent l="0" t="0" r="10795" b="825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6"/>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2）批量拒绝：可通过列表前的选择框进行勾选，点击“批量拒绝”按钮，系统将弹出侧边框，填入拒绝原因保存后，则被选中信息状态变更为“已拒绝”，且操作状态将同步至北配系统。针对已拒绝的数据，用户可以进行二次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570480"/>
            <wp:effectExtent l="0" t="0" r="6350" b="50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2245" cy="2475865"/>
            <wp:effectExtent l="0" t="0" r="10795" b="825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6"/>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CN"/>
        </w:rPr>
      </w:pPr>
      <w:r>
        <w:rPr>
          <w:rFonts w:hint="eastAsia"/>
          <w:sz w:val="24"/>
          <w:szCs w:val="24"/>
          <w:lang w:val="en-US" w:eastAsia="zh-CN"/>
        </w:rPr>
        <w:t>（3）导出拒绝：点击“导出数据”按钮，则当前筛选条件下，列表中的全量数据以excel文件下载至本地，用户可以在excel里进行数据查看、操作状态和拒绝原因维护。维护完毕后点击“导入数据”按钮，将填充好状态的excel原表导入系统，对应数据状态将进行变更。（注意：未维护状态的数据，不可进行导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CN"/>
        </w:rPr>
      </w:pPr>
      <w:r>
        <w:drawing>
          <wp:inline distT="0" distB="0" distL="114300" distR="114300">
            <wp:extent cx="5266690" cy="2570480"/>
            <wp:effectExtent l="0" t="0" r="6350" b="508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numPr>
          <w:ilvl w:val="0"/>
          <w:numId w:val="0"/>
        </w:numPr>
        <w:rPr>
          <w:rFonts w:hint="default"/>
          <w:lang w:val="en-US" w:eastAsia="zh-CN"/>
        </w:rPr>
      </w:pPr>
      <w:r>
        <w:rPr>
          <w:rFonts w:hint="default"/>
          <w:lang w:val="en-US" w:eastAsia="zh-CN"/>
        </w:rPr>
        <w:drawing>
          <wp:inline distT="0" distB="0" distL="114300" distR="114300">
            <wp:extent cx="5270500" cy="2046605"/>
            <wp:effectExtent l="0" t="0" r="2540" b="10795"/>
            <wp:docPr id="5" name="图片 5" descr="fc38d805274afcd303baa6f62a66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c38d805274afcd303baa6f62a668cf"/>
                    <pic:cNvPicPr>
                      <a:picLocks noChangeAspect="1"/>
                    </pic:cNvPicPr>
                  </pic:nvPicPr>
                  <pic:blipFill>
                    <a:blip r:embed="rId11"/>
                    <a:stretch>
                      <a:fillRect/>
                    </a:stretch>
                  </pic:blipFill>
                  <pic:spPr>
                    <a:xfrm>
                      <a:off x="0" y="0"/>
                      <a:ext cx="5270500" cy="2046605"/>
                    </a:xfrm>
                    <a:prstGeom prst="rect">
                      <a:avLst/>
                    </a:prstGeom>
                  </pic:spPr>
                </pic:pic>
              </a:graphicData>
            </a:graphic>
          </wp:inline>
        </w:drawing>
      </w:r>
    </w:p>
    <w:p>
      <w:pPr>
        <w:numPr>
          <w:ilvl w:val="0"/>
          <w:numId w:val="0"/>
        </w:numPr>
        <w:rPr>
          <w:rFonts w:hint="default"/>
          <w:lang w:val="en-US" w:eastAsia="zh-CN"/>
        </w:rPr>
      </w:pPr>
      <w:r>
        <w:drawing>
          <wp:inline distT="0" distB="0" distL="114300" distR="114300">
            <wp:extent cx="5262245" cy="2475865"/>
            <wp:effectExtent l="0" t="0" r="10795" b="825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9"/>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充值账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充值账集合2022年底前用户通过平安银行、建设银行、银行票据完成的资金充值，以及国电财务公司退款、能源财务公司退款等数据信息，将商城资金账户数据与银行信息进行比对，以便用户进行资金核实，针对有误信息可以进行拒绝并通过线下完成更详尽的核对和调账等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1.数据确认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（1）确认：进入对账管理页面查看行信息，针对无误的数据可点击行操作“确认”按钮，则该条信息状态变更为“已确认”，且操作状态将同步至北配系统。（注意：已确认状态的数据不可再次进行操作。）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drawing>
          <wp:inline distT="0" distB="0" distL="114300" distR="114300">
            <wp:extent cx="5262245" cy="2475865"/>
            <wp:effectExtent l="0" t="0" r="10795" b="82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0"/>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（2）批量确认：可通过列表前的选择框进行勾选，点击“批量确认”按钮，则被选中信息状态变更为“已确认”，且该数据不可再次进行操作。（注意：已确认状态的数据不可再次进行操作。）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drawing>
          <wp:inline distT="0" distB="0" distL="114300" distR="114300">
            <wp:extent cx="5262245" cy="2475865"/>
            <wp:effectExtent l="0" t="0" r="10795" b="825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1"/>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val="en-US" w:eastAsia="zh-CN"/>
        </w:rPr>
      </w:pPr>
      <w:r>
        <w:rPr>
          <w:rFonts w:hint="eastAsia"/>
          <w:sz w:val="24"/>
          <w:szCs w:val="24"/>
          <w:lang w:val="en-US" w:eastAsia="zh-CN"/>
        </w:rPr>
        <w:t>（3）导出确认：点击“导出数据”按钮，则当前筛选条件下，列表中的全量数据以excel文件下载至本地，用户可以在excel里进行数据查看和操作状态维护。维护完毕后点击“导入数据”按钮，将填充好状态的excel原表导入系统，对应数据状态将进行变更。（注意：未维护状态的数据，不可进行导入）</w:t>
      </w:r>
      <w:r>
        <w:drawing>
          <wp:inline distT="0" distB="0" distL="114300" distR="114300">
            <wp:extent cx="5262245" cy="2475865"/>
            <wp:effectExtent l="0" t="0" r="10795" b="825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2"/>
                    <a:stretch>
                      <a:fillRect/>
                    </a:stretch>
                  </pic:blipFill>
                  <pic:spPr>
                    <a:xfrm>
                      <a:off x="0" y="0"/>
                      <a:ext cx="5262245" cy="2475865"/>
                    </a:xfrm>
                    <a:prstGeom prst="rect">
                      <a:avLst/>
                    </a:prstGeom>
                    <a:noFill/>
                    <a:ln>
                      <a:noFill/>
                    </a:ln>
                  </pic:spPr>
                </pic:pic>
              </a:graphicData>
            </a:graphic>
          </wp:inline>
        </w:drawing>
      </w:r>
    </w:p>
    <w:p>
      <w:pPr>
        <w:numPr>
          <w:ilvl w:val="0"/>
          <w:numId w:val="0"/>
        </w:numPr>
      </w:pPr>
      <w:r>
        <w:drawing>
          <wp:inline distT="0" distB="0" distL="114300" distR="114300">
            <wp:extent cx="5266690" cy="2153285"/>
            <wp:effectExtent l="0" t="0" r="6350" b="1079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3"/>
                    <a:stretch>
                      <a:fillRect/>
                    </a:stretch>
                  </pic:blipFill>
                  <pic:spPr>
                    <a:xfrm>
                      <a:off x="0" y="0"/>
                      <a:ext cx="5266690" cy="2153285"/>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262245" cy="2475865"/>
            <wp:effectExtent l="0" t="0" r="10795" b="825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4"/>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textAlignment w:val="auto"/>
        <w:rPr>
          <w:rFonts w:hint="eastAsia"/>
          <w:sz w:val="24"/>
          <w:szCs w:val="24"/>
          <w:lang w:val="en-US" w:eastAsia="zh-CN"/>
        </w:rPr>
      </w:pPr>
      <w:r>
        <w:rPr>
          <w:rFonts w:hint="eastAsia"/>
          <w:sz w:val="24"/>
          <w:szCs w:val="24"/>
          <w:lang w:val="en-US" w:eastAsia="zh-CN"/>
        </w:rPr>
        <w:t>数据拒绝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CN"/>
        </w:rPr>
      </w:pPr>
      <w:r>
        <w:rPr>
          <w:rFonts w:hint="eastAsia"/>
          <w:sz w:val="24"/>
          <w:szCs w:val="24"/>
          <w:lang w:val="en-US" w:eastAsia="zh-CN"/>
        </w:rPr>
        <w:t>针对充值账拒绝类型的数据，请按照以下描述规范化填写，以便北配进行核对。示例如下：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A.收款错误，正确日期和金额。（请线下提供银行水单图片）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B.退款错误，正确的日期和金额。（请线下提供银行水单图片）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C.其他错误，并说明情况。（如有支持材料请一并打包线下发送至北配）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1）拒绝：进入对账管理页面查看行信息，针对有误的数据可点击行操作“拒绝”按钮，系统将弹出侧边框，填入拒绝原因保存后，则该条信息状态变更为“已拒绝”，且操作状态将同步至北配系统。针对已拒绝的数据，用户可以进行二次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245" cy="2475865"/>
            <wp:effectExtent l="0" t="0" r="10795" b="825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5"/>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2245" cy="2475865"/>
            <wp:effectExtent l="0" t="0" r="10795" b="825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6"/>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2）批量拒绝：可通过列表前的选择框进行勾选，点击“批量拒绝”按钮，系统将弹出侧边框，填入拒绝原因保存后，则被选中信息状态变更为“已拒绝”，且操作状态将同步至北配系统。针对已拒绝的数据，用户可以进行二次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drawing>
          <wp:inline distT="0" distB="0" distL="114300" distR="114300">
            <wp:extent cx="5262245" cy="2475865"/>
            <wp:effectExtent l="0" t="0" r="10795" b="825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7"/>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CN"/>
        </w:rPr>
      </w:pPr>
      <w:r>
        <w:rPr>
          <w:rFonts w:hint="eastAsia"/>
          <w:sz w:val="24"/>
          <w:szCs w:val="24"/>
          <w:lang w:val="en-US" w:eastAsia="zh-CN"/>
        </w:rPr>
        <w:t>（3）导出拒绝：点击“导出数据”按钮，则当前筛选条件下，列表中的全量数据以excel文件下载至本地，用户可以在excel里进行数据查看、操作状态和拒绝原因维护。维护完毕后点击“导入数据”按钮，将填充好状态的excel原表导入系统，对应数据状态将进行变更。（注意：未维护状态的数据，不可进行导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drawing>
          <wp:inline distT="0" distB="0" distL="114300" distR="114300">
            <wp:extent cx="5262245" cy="2475865"/>
            <wp:effectExtent l="0" t="0" r="10795" b="825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8"/>
                    <a:stretch>
                      <a:fillRect/>
                    </a:stretch>
                  </pic:blipFill>
                  <pic:spPr>
                    <a:xfrm>
                      <a:off x="0" y="0"/>
                      <a:ext cx="5262245" cy="2475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153285"/>
            <wp:effectExtent l="0" t="0" r="6350" b="1079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3"/>
                    <a:stretch>
                      <a:fillRect/>
                    </a:stretch>
                  </pic:blipFill>
                  <pic:spPr>
                    <a:xfrm>
                      <a:off x="0" y="0"/>
                      <a:ext cx="5266690" cy="21532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2245" cy="2475865"/>
            <wp:effectExtent l="0" t="0" r="10795" b="825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9"/>
                    <a:stretch>
                      <a:fillRect/>
                    </a:stretch>
                  </pic:blipFill>
                  <pic:spPr>
                    <a:xfrm>
                      <a:off x="0" y="0"/>
                      <a:ext cx="5262245" cy="2475865"/>
                    </a:xfrm>
                    <a:prstGeom prst="rect">
                      <a:avLst/>
                    </a:prstGeom>
                    <a:noFill/>
                    <a:ln>
                      <a:noFill/>
                    </a:ln>
                  </pic:spPr>
                </pic:pic>
              </a:graphicData>
            </a:graphic>
          </wp:inline>
        </w:drawing>
      </w:r>
    </w:p>
    <w:p>
      <w:pPr>
        <w:numPr>
          <w:ilvl w:val="0"/>
          <w:numId w:val="0"/>
        </w:numPr>
        <w:rPr>
          <w:rFonts w:hint="default"/>
          <w:lang w:val="en-US" w:eastAsia="zh-CN"/>
        </w:rPr>
      </w:pPr>
    </w:p>
    <w:p>
      <w:pPr>
        <w:pStyle w:val="2"/>
        <w:numPr>
          <w:ilvl w:val="0"/>
          <w:numId w:val="1"/>
        </w:numPr>
        <w:bidi w:val="0"/>
        <w:rPr>
          <w:rFonts w:hint="eastAsia"/>
          <w:highlight w:val="yellow"/>
          <w:lang w:val="en-US" w:eastAsia="zh-CN"/>
        </w:rPr>
      </w:pPr>
      <w:r>
        <w:rPr>
          <w:rFonts w:hint="eastAsia"/>
          <w:highlight w:val="yellow"/>
          <w:lang w:val="en-US" w:eastAsia="zh-CN"/>
        </w:rPr>
        <w:t>北配确认业务账</w:t>
      </w:r>
      <w:bookmarkStart w:id="6" w:name="_GoBack"/>
      <w:bookmarkEnd w:id="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FF0000"/>
          <w:sz w:val="24"/>
          <w:szCs w:val="24"/>
          <w:lang w:val="en-US" w:eastAsia="zh-CN"/>
        </w:rPr>
      </w:pPr>
      <w:r>
        <w:rPr>
          <w:rFonts w:hint="eastAsia"/>
          <w:sz w:val="24"/>
          <w:szCs w:val="24"/>
          <w:lang w:val="en-US" w:eastAsia="zh-CN"/>
        </w:rPr>
        <w:t>通过从税局导出已抵扣发票数据，在“对账管理-导入记录”点击“导入数据”，可以下载模板或直接上传已维护好的excel信息。</w:t>
      </w:r>
      <w:r>
        <w:rPr>
          <w:rFonts w:hint="eastAsia"/>
          <w:color w:val="FF0000"/>
          <w:sz w:val="24"/>
          <w:szCs w:val="24"/>
          <w:lang w:val="en-US" w:eastAsia="zh-CN"/>
        </w:rPr>
        <w:t>（注意：发票代码、发票号码、开票日期、金额、用途为必填项）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CN"/>
        </w:rPr>
      </w:pPr>
      <w:r>
        <w:rPr>
          <w:rFonts w:hint="eastAsia"/>
          <w:sz w:val="24"/>
          <w:szCs w:val="24"/>
          <w:lang w:val="en-US" w:eastAsia="zh-CN"/>
        </w:rPr>
        <w:t>导入成功后，导入记录表将记录excel的上传状态和表格内容的执行情况，针对执行有误的数据可以在描述列查看原因。点击“导出原文件”支持原excel文件下载。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24"/>
          <w:lang w:val="en-US" w:eastAsia="zh-CN"/>
        </w:rPr>
      </w:pPr>
      <w:r>
        <w:rPr>
          <w:rFonts w:hint="eastAsia"/>
          <w:sz w:val="24"/>
          <w:szCs w:val="24"/>
          <w:lang w:val="en-US" w:eastAsia="zh-CN"/>
        </w:rPr>
        <w:t>针对导入的已抵扣发票数据，系统将自动与业务账中的发票关联，关联成功则业务账中该发票变更为已抵扣状态，同时业务账中的发票数据自动变为已确认，无需再进行手动确认。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drawing>
          <wp:inline distT="0" distB="0" distL="114300" distR="114300">
            <wp:extent cx="5262245" cy="2447925"/>
            <wp:effectExtent l="0" t="0" r="10795"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0"/>
                    <a:stretch>
                      <a:fillRect/>
                    </a:stretch>
                  </pic:blipFill>
                  <pic:spPr>
                    <a:xfrm>
                      <a:off x="0" y="0"/>
                      <a:ext cx="5262245" cy="24479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导入模板：</w:t>
      </w:r>
    </w:p>
    <w:p>
      <w:pPr>
        <w:numPr>
          <w:ilvl w:val="0"/>
          <w:numId w:val="0"/>
        </w:numPr>
      </w:pPr>
      <w:r>
        <w:drawing>
          <wp:inline distT="0" distB="0" distL="114300" distR="114300">
            <wp:extent cx="5262880" cy="1464945"/>
            <wp:effectExtent l="0" t="0" r="10160"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5262880" cy="1464945"/>
                    </a:xfrm>
                    <a:prstGeom prst="rect">
                      <a:avLst/>
                    </a:prstGeom>
                    <a:noFill/>
                    <a:ln>
                      <a:noFill/>
                    </a:ln>
                  </pic:spPr>
                </pic:pic>
              </a:graphicData>
            </a:graphic>
          </wp:inline>
        </w:drawing>
      </w:r>
    </w:p>
    <w:p>
      <w:pPr>
        <w:numPr>
          <w:ilvl w:val="0"/>
          <w:numId w:val="0"/>
        </w:numPr>
        <w:rPr>
          <w:rFonts w:hint="default"/>
          <w:lang w:val="en-US" w:eastAsia="zh-CN"/>
        </w:rPr>
      </w:pPr>
    </w:p>
    <w:p>
      <w:pPr>
        <w:pStyle w:val="2"/>
        <w:numPr>
          <w:ilvl w:val="0"/>
          <w:numId w:val="1"/>
        </w:numPr>
        <w:bidi w:val="0"/>
        <w:rPr>
          <w:rFonts w:hint="default"/>
          <w:lang w:val="en-US" w:eastAsia="zh-CN"/>
        </w:rPr>
      </w:pPr>
      <w:r>
        <w:rPr>
          <w:rFonts w:hint="eastAsia"/>
          <w:lang w:val="en-US" w:eastAsia="zh-CN"/>
        </w:rPr>
        <w:t>常见问题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sz w:val="24"/>
          <w:szCs w:val="24"/>
          <w:lang w:val="en-US" w:eastAsia="zh-CN"/>
        </w:rPr>
      </w:pPr>
      <w:r>
        <w:rPr>
          <w:rFonts w:hint="eastAsia"/>
          <w:b w:val="0"/>
          <w:bCs w:val="0"/>
          <w:sz w:val="24"/>
          <w:szCs w:val="24"/>
          <w:lang w:val="en-US" w:eastAsia="zh-CN"/>
        </w:rPr>
        <w:t>1.在商城未找到协同平台登录入口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sz w:val="24"/>
          <w:szCs w:val="24"/>
          <w:lang w:val="en-US" w:eastAsia="zh-CN"/>
        </w:rPr>
      </w:pPr>
      <w:r>
        <w:rPr>
          <w:rFonts w:hint="eastAsia"/>
          <w:b w:val="0"/>
          <w:bCs w:val="0"/>
          <w:sz w:val="24"/>
          <w:szCs w:val="24"/>
          <w:lang w:val="en-US" w:eastAsia="zh-CN"/>
        </w:rPr>
        <w:t>在“我的e购-结算管理-配送业务开票申请-开票申请管理”菜单下，点击“协同平台”按钮进入系统。若未找到该菜单，可联系本公司管理员账号进行“</w:t>
      </w:r>
      <w:r>
        <w:rPr>
          <w:rFonts w:hint="eastAsia"/>
          <w:b/>
          <w:bCs/>
          <w:color w:val="0000FF"/>
          <w:sz w:val="24"/>
          <w:szCs w:val="24"/>
          <w:lang w:val="en-US" w:eastAsia="zh-CN"/>
        </w:rPr>
        <w:t>结算员</w:t>
      </w:r>
      <w:r>
        <w:rPr>
          <w:rFonts w:hint="eastAsia"/>
          <w:b w:val="0"/>
          <w:bCs w:val="0"/>
          <w:sz w:val="24"/>
          <w:szCs w:val="24"/>
          <w:lang w:val="en-US" w:eastAsia="zh-CN"/>
        </w:rPr>
        <w:t>”角色授权。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2.登录协同平台空白页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（1）清除浏览器历史记录或使用浏览器无痕模式登录商城后跳转协同平台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（2）若以上操作无效，请提供公司名称、税号至运营人员，由运营人员确认是否初始化公司有缺失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val="0"/>
          <w:color w:val="FF0000"/>
          <w:sz w:val="24"/>
          <w:szCs w:val="24"/>
          <w:lang w:val="en-US" w:eastAsia="zh-CN"/>
        </w:rPr>
      </w:pPr>
      <w:r>
        <w:rPr>
          <w:rFonts w:hint="eastAsia"/>
          <w:b w:val="0"/>
          <w:bCs w:val="0"/>
          <w:color w:val="FF0000"/>
          <w:sz w:val="24"/>
          <w:szCs w:val="24"/>
          <w:lang w:val="en-US" w:eastAsia="zh-CN"/>
        </w:rPr>
        <w:t>进度：截至2月23日已补充多家公司信息，请重试。如仍有问题请联系运营重新登记。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3.对账管理不能看到多家账套公司的数据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val="0"/>
          <w:sz w:val="24"/>
          <w:szCs w:val="24"/>
          <w:lang w:val="en-US" w:eastAsia="zh-CN"/>
        </w:rPr>
      </w:pPr>
      <w:r>
        <w:rPr>
          <w:rFonts w:hint="eastAsia"/>
          <w:b w:val="0"/>
          <w:bCs w:val="0"/>
          <w:sz w:val="24"/>
          <w:szCs w:val="24"/>
          <w:lang w:val="en-US" w:eastAsia="zh-CN"/>
        </w:rPr>
        <w:t>（1）若其他账套公司有对应的商城账号，请登录相应的账号后进入协同分别完成对账。若只有一家账号，请提供登录商城的公司名称、税号和需要看到的账套名称、税号至运营人员，需进一步核实该公司的账号组成再做反馈。</w:t>
      </w:r>
      <w:r>
        <w:rPr>
          <w:rFonts w:hint="eastAsia"/>
          <w:b w:val="0"/>
          <w:bCs w:val="0"/>
          <w:color w:val="FF0000"/>
          <w:sz w:val="24"/>
          <w:szCs w:val="24"/>
          <w:lang w:val="en-US" w:eastAsia="zh-CN"/>
        </w:rPr>
        <w:t>进度：截至进度：截至2月22日晚，已满足该场景用户登录、查看，请重试。如仍有问题请联系运营反馈。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4.导出数据报错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对账管理导出数据仅支持最大1万条数据导出，若超出请增加筛选条件。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val="0"/>
          <w:color w:val="FF0000"/>
          <w:sz w:val="24"/>
          <w:szCs w:val="24"/>
          <w:lang w:val="en-US" w:eastAsia="zh-CN"/>
        </w:rPr>
      </w:pPr>
      <w:r>
        <w:rPr>
          <w:rFonts w:hint="eastAsia"/>
          <w:b w:val="0"/>
          <w:bCs w:val="0"/>
          <w:color w:val="FF0000"/>
          <w:sz w:val="24"/>
          <w:szCs w:val="24"/>
          <w:lang w:val="en-US" w:eastAsia="zh-CN"/>
        </w:rPr>
        <w:t>进度：截至2月22日晚，已修复针对业务账仅有发票数据导出报错的问题。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5.缺少数据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（1）充值账2022年11月至12月数据最终核对中，预计2月21日导入生产。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（2）业务账缺少数据，请反馈至运营人员登记排查后反馈。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color w:val="FF0000"/>
          <w:sz w:val="24"/>
          <w:szCs w:val="24"/>
          <w:lang w:val="en-US" w:eastAsia="zh-CN"/>
        </w:rPr>
        <w:t>进度：截至2月23日晚，已完成业务账、充值账数据补充，如仍有数据缺失请联系联系运营重新登记。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val="0"/>
          <w:sz w:val="24"/>
          <w:szCs w:val="24"/>
          <w:lang w:val="en-US" w:eastAsia="zh-CN"/>
        </w:rPr>
      </w:pPr>
      <w:r>
        <w:rPr>
          <w:rFonts w:hint="eastAsia"/>
          <w:b w:val="0"/>
          <w:bCs w:val="0"/>
          <w:sz w:val="24"/>
          <w:szCs w:val="24"/>
          <w:lang w:val="en-US" w:eastAsia="zh-CN"/>
        </w:rPr>
        <w:t>6.误操作确认状态后，需进行数据拒绝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val="0"/>
          <w:sz w:val="24"/>
          <w:szCs w:val="24"/>
          <w:lang w:val="en-US" w:eastAsia="zh-CN"/>
        </w:rPr>
      </w:pPr>
      <w:r>
        <w:rPr>
          <w:rFonts w:hint="eastAsia"/>
          <w:b w:val="0"/>
          <w:bCs w:val="0"/>
          <w:sz w:val="24"/>
          <w:szCs w:val="24"/>
          <w:lang w:val="en-US" w:eastAsia="zh-CN"/>
        </w:rPr>
        <w:t>可通过导出数据方式维护数据状态后进行数据导入，完成数据状态变更。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DC6454"/>
    <w:multiLevelType w:val="singleLevel"/>
    <w:tmpl w:val="B5DC6454"/>
    <w:lvl w:ilvl="0" w:tentative="0">
      <w:start w:val="1"/>
      <w:numFmt w:val="decimal"/>
      <w:lvlText w:val="%1."/>
      <w:lvlJc w:val="left"/>
      <w:pPr>
        <w:tabs>
          <w:tab w:val="left" w:pos="312"/>
        </w:tabs>
      </w:pPr>
    </w:lvl>
  </w:abstractNum>
  <w:abstractNum w:abstractNumId="1">
    <w:nsid w:val="D51FF8B7"/>
    <w:multiLevelType w:val="singleLevel"/>
    <w:tmpl w:val="D51FF8B7"/>
    <w:lvl w:ilvl="0" w:tentative="0">
      <w:start w:val="2"/>
      <w:numFmt w:val="decimal"/>
      <w:lvlText w:val="%1."/>
      <w:lvlJc w:val="left"/>
      <w:pPr>
        <w:tabs>
          <w:tab w:val="left" w:pos="312"/>
        </w:tabs>
      </w:pPr>
    </w:lvl>
  </w:abstractNum>
  <w:abstractNum w:abstractNumId="2">
    <w:nsid w:val="227135C0"/>
    <w:multiLevelType w:val="singleLevel"/>
    <w:tmpl w:val="227135C0"/>
    <w:lvl w:ilvl="0" w:tentative="0">
      <w:start w:val="1"/>
      <w:numFmt w:val="chineseCounting"/>
      <w:suff w:val="nothing"/>
      <w:lvlText w:val="%1、"/>
      <w:lvlJc w:val="left"/>
      <w:rPr>
        <w:rFonts w:hint="eastAsia"/>
      </w:rPr>
    </w:lvl>
  </w:abstractNum>
  <w:abstractNum w:abstractNumId="3">
    <w:nsid w:val="7D9EB114"/>
    <w:multiLevelType w:val="singleLevel"/>
    <w:tmpl w:val="7D9EB114"/>
    <w:lvl w:ilvl="0" w:tentative="0">
      <w:start w:val="1"/>
      <w:numFmt w:val="chineseCounting"/>
      <w:suff w:val="nothing"/>
      <w:lvlText w:val="（%1）"/>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VlNjE0ODBhNDVkZDc4YzRmNjBmZjIwODNiYzMzYTkifQ=="/>
  </w:docVars>
  <w:rsids>
    <w:rsidRoot w:val="0B6F3345"/>
    <w:rsid w:val="0391789E"/>
    <w:rsid w:val="077E3E86"/>
    <w:rsid w:val="09B210D3"/>
    <w:rsid w:val="0B6F3345"/>
    <w:rsid w:val="148461AA"/>
    <w:rsid w:val="2C821767"/>
    <w:rsid w:val="43747160"/>
    <w:rsid w:val="4A1A2258"/>
    <w:rsid w:val="52FE5349"/>
    <w:rsid w:val="6C1C0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heme="minorAscii" w:hAnsiTheme="minorAscii"/>
      <w:b/>
      <w:kern w:val="44"/>
      <w:sz w:val="28"/>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3040</Words>
  <Characters>3159</Characters>
  <Lines>0</Lines>
  <Paragraphs>0</Paragraphs>
  <TotalTime>4</TotalTime>
  <ScaleCrop>false</ScaleCrop>
  <LinksUpToDate>false</LinksUpToDate>
  <CharactersWithSpaces>3159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2022-12-16T14:44:00Z</dcterms:created>
  <dc:creator>Sherry</dc:creator>
  <cp:lastModifiedBy>Sherry</cp:lastModifiedBy>
  <dcterms:modified xsi:type="dcterms:W3CDTF">2023-03-16T10:11:05Z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D3C379789B0947EBA4CC9A13A8B7A2BB</vt:lpwstr>
  </property>
</Properties>
</file>