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ascii="仿宋_GB2312" w:hAnsi="仿宋_GB2312" w:eastAsia="仿宋_GB2312" w:cs="仿宋_GB2312"/>
          <w:b w:val="0"/>
          <w:bCs/>
          <w:sz w:val="32"/>
          <w:szCs w:val="32"/>
          <w:lang w:val="en-US" w:eastAsia="zh-CN"/>
        </w:rPr>
      </w:pPr>
      <w:r>
        <w:rPr>
          <w:rFonts w:hint="eastAsia" w:ascii="方正小标宋简体" w:hAnsi="方正小标宋简体" w:eastAsia="方正小标宋简体" w:cs="方正小标宋简体"/>
          <w:b w:val="0"/>
          <w:bCs/>
          <w:sz w:val="44"/>
          <w:szCs w:val="44"/>
          <w:lang w:val="en-US" w:eastAsia="zh-CN"/>
        </w:rPr>
        <w:t>抵扣认证发票下载操作手册</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对于未建立发票登记台账单位，可按通过国家税务总局增值税发票综合服务平台下载本单位已抵扣认证发票明细。具体操作步骤如下:</w:t>
      </w:r>
    </w:p>
    <w:p>
      <w:pPr>
        <w:numPr>
          <w:ilvl w:val="0"/>
          <w:numId w:val="1"/>
        </w:num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插入税盘后，登录当地增值税发票综合服务平台。以北京为例，登录网址：https://fpdk.beijing.chinatax.gov.cn</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drawing>
          <wp:inline distT="0" distB="0" distL="114300" distR="114300">
            <wp:extent cx="5263515" cy="256540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3515" cy="2565400"/>
                    </a:xfrm>
                    <a:prstGeom prst="rect">
                      <a:avLst/>
                    </a:prstGeom>
                    <a:noFill/>
                    <a:ln>
                      <a:noFill/>
                    </a:ln>
                  </pic:spPr>
                </pic:pic>
              </a:graphicData>
            </a:graphic>
          </wp:inline>
        </w:drawing>
      </w:r>
      <w:r>
        <w:rPr>
          <w:rFonts w:hint="eastAsia" w:ascii="仿宋_GB2312" w:hAnsi="仿宋_GB2312" w:eastAsia="仿宋_GB2312" w:cs="仿宋_GB2312"/>
          <w:sz w:val="32"/>
          <w:szCs w:val="32"/>
          <w:lang w:val="en-US" w:eastAsia="zh-CN"/>
        </w:rPr>
        <w:t>2.选择抵扣勾选----抵扣勾选统计。</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5264150" cy="2504440"/>
            <wp:effectExtent l="0" t="0" r="8890"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4150" cy="2504440"/>
                    </a:xfrm>
                    <a:prstGeom prst="rect">
                      <a:avLst/>
                    </a:prstGeom>
                    <a:noFill/>
                    <a:ln>
                      <a:noFill/>
                    </a:ln>
                  </pic:spPr>
                </pic:pic>
              </a:graphicData>
            </a:graphic>
          </wp:inline>
        </w:drawing>
      </w:r>
    </w:p>
    <w:p>
      <w:pPr>
        <w:numPr>
          <w:ilvl w:val="0"/>
          <w:numId w:val="0"/>
        </w:numPr>
        <w:ind w:leftChars="0"/>
        <w:jc w:val="both"/>
        <w:rPr>
          <w:rFonts w:hint="eastAsia" w:ascii="仿宋_GB2312" w:hAnsi="仿宋_GB2312" w:eastAsia="仿宋_GB2312" w:cs="仿宋_GB2312"/>
          <w:sz w:val="32"/>
          <w:szCs w:val="32"/>
          <w:lang w:val="en-US" w:eastAsia="zh-CN"/>
        </w:rPr>
      </w:pPr>
    </w:p>
    <w:p>
      <w:pPr>
        <w:numPr>
          <w:ilvl w:val="0"/>
          <w:numId w:val="0"/>
        </w:numPr>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3.选择历史属期数据统计。</w:t>
      </w:r>
    </w:p>
    <w:p>
      <w:pPr>
        <w:numPr>
          <w:ilvl w:val="0"/>
          <w:numId w:val="0"/>
        </w:numPr>
        <w:ind w:left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5265420" cy="2479675"/>
            <wp:effectExtent l="0" t="0" r="762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5420" cy="2479675"/>
                    </a:xfrm>
                    <a:prstGeom prst="rect">
                      <a:avLst/>
                    </a:prstGeom>
                    <a:noFill/>
                    <a:ln>
                      <a:noFill/>
                    </a:ln>
                  </pic:spPr>
                </pic:pic>
              </a:graphicData>
            </a:graphic>
          </wp:inline>
        </w:drawing>
      </w:r>
    </w:p>
    <w:p>
      <w:pPr>
        <w:numPr>
          <w:ilvl w:val="0"/>
          <w:numId w:val="2"/>
        </w:numPr>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选择具体月份后点击统计查询。</w:t>
      </w:r>
    </w:p>
    <w:p>
      <w:pPr>
        <w:numPr>
          <w:ilvl w:val="0"/>
          <w:numId w:val="0"/>
        </w:numPr>
        <w:jc w:val="both"/>
      </w:pPr>
      <w:r>
        <w:drawing>
          <wp:inline distT="0" distB="0" distL="114300" distR="114300">
            <wp:extent cx="5266055" cy="2689860"/>
            <wp:effectExtent l="0" t="0" r="6985"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66055" cy="2689860"/>
                    </a:xfrm>
                    <a:prstGeom prst="rect">
                      <a:avLst/>
                    </a:prstGeom>
                    <a:noFill/>
                    <a:ln>
                      <a:noFill/>
                    </a:ln>
                  </pic:spPr>
                </pic:pic>
              </a:graphicData>
            </a:graphic>
          </wp:inline>
        </w:drawing>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在销方税号处填写北京配送税号：91110106MA005RPX7Y 。点击查询。根据查询结果，点击查询明细下载。 </w:t>
      </w:r>
    </w:p>
    <w:p>
      <w:pPr>
        <w:numPr>
          <w:ilvl w:val="0"/>
          <w:numId w:val="0"/>
        </w:numPr>
        <w:jc w:val="both"/>
        <w:rPr>
          <w:rFonts w:hint="eastAsia" w:ascii="仿宋_GB2312" w:hAnsi="仿宋_GB2312" w:eastAsia="仿宋_GB2312" w:cs="仿宋_GB2312"/>
          <w:sz w:val="32"/>
          <w:szCs w:val="32"/>
          <w:lang w:val="en-US" w:eastAsia="zh-CN"/>
        </w:rPr>
      </w:pPr>
      <w:r>
        <w:drawing>
          <wp:inline distT="0" distB="0" distL="114300" distR="114300">
            <wp:extent cx="5271135" cy="2800985"/>
            <wp:effectExtent l="0" t="0" r="1905" b="317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5271135" cy="2800985"/>
                    </a:xfrm>
                    <a:prstGeom prst="rect">
                      <a:avLst/>
                    </a:prstGeom>
                    <a:noFill/>
                    <a:ln>
                      <a:noFill/>
                    </a:ln>
                  </pic:spPr>
                </pic:pic>
              </a:graphicData>
            </a:graphic>
          </wp:inline>
        </w:drawing>
      </w:r>
    </w:p>
    <w:p>
      <w:pPr>
        <w:widowControl w:val="0"/>
        <w:numPr>
          <w:ilvl w:val="0"/>
          <w:numId w:val="2"/>
        </w:numPr>
        <w:ind w:left="0" w:leftChars="0"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即可获得当月抵扣认证的北京配送开具发票的信息。</w:t>
      </w:r>
    </w:p>
    <w:p>
      <w:pPr>
        <w:widowControl w:val="0"/>
        <w:numPr>
          <w:ilvl w:val="0"/>
          <w:numId w:val="0"/>
        </w:numPr>
        <w:ind w:leftChars="0"/>
        <w:jc w:val="both"/>
      </w:pPr>
      <w:r>
        <w:drawing>
          <wp:inline distT="0" distB="0" distL="114300" distR="114300">
            <wp:extent cx="5262880" cy="2635885"/>
            <wp:effectExtent l="0" t="0" r="10160" b="63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9"/>
                    <a:stretch>
                      <a:fillRect/>
                    </a:stretch>
                  </pic:blipFill>
                  <pic:spPr>
                    <a:xfrm>
                      <a:off x="0" y="0"/>
                      <a:ext cx="5262880" cy="2635885"/>
                    </a:xfrm>
                    <a:prstGeom prst="rect">
                      <a:avLst/>
                    </a:prstGeom>
                    <a:noFill/>
                    <a:ln>
                      <a:noFill/>
                    </a:ln>
                  </pic:spPr>
                </pic:pic>
              </a:graphicData>
            </a:graphic>
          </wp:inline>
        </w:drawing>
      </w:r>
    </w:p>
    <w:p>
      <w:pPr>
        <w:widowControl w:val="0"/>
        <w:numPr>
          <w:ilvl w:val="0"/>
          <w:numId w:val="0"/>
        </w:numPr>
        <w:ind w:leftChars="0"/>
        <w:jc w:val="both"/>
        <w:rPr>
          <w:rFonts w:hint="default"/>
          <w:lang w:val="en-US" w:eastAsia="zh-CN"/>
        </w:rPr>
      </w:pPr>
      <w:r>
        <w:drawing>
          <wp:inline distT="0" distB="0" distL="114300" distR="114300">
            <wp:extent cx="5260975" cy="2453640"/>
            <wp:effectExtent l="0" t="0" r="12065" b="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10"/>
                    <a:stretch>
                      <a:fillRect/>
                    </a:stretch>
                  </pic:blipFill>
                  <pic:spPr>
                    <a:xfrm>
                      <a:off x="0" y="0"/>
                      <a:ext cx="5260975" cy="2453640"/>
                    </a:xfrm>
                    <a:prstGeom prst="rect">
                      <a:avLst/>
                    </a:prstGeom>
                    <a:noFill/>
                    <a:ln>
                      <a:noFill/>
                    </a:ln>
                  </pic:spPr>
                </pic:pic>
              </a:graphicData>
            </a:graphic>
          </wp:inline>
        </w:drawing>
      </w:r>
    </w:p>
    <w:p>
      <w:pPr>
        <w:widowControl w:val="0"/>
        <w:numPr>
          <w:ilvl w:val="0"/>
          <w:numId w:val="0"/>
        </w:numPr>
        <w:tabs>
          <w:tab w:val="left" w:pos="312"/>
        </w:tabs>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温馨提示：</w:t>
      </w:r>
    </w:p>
    <w:p>
      <w:pPr>
        <w:widowControl w:val="0"/>
        <w:numPr>
          <w:ilvl w:val="0"/>
          <w:numId w:val="0"/>
        </w:numPr>
        <w:tabs>
          <w:tab w:val="left" w:pos="312"/>
        </w:tabs>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1.国家税务总局网站因登录人员多，访问量大，会经常发生掉线情况，重新登录查询即可。</w:t>
      </w:r>
    </w:p>
    <w:p>
      <w:pPr>
        <w:widowControl w:val="0"/>
        <w:numPr>
          <w:ilvl w:val="0"/>
          <w:numId w:val="0"/>
        </w:numPr>
        <w:tabs>
          <w:tab w:val="left" w:pos="312"/>
        </w:tabs>
        <w:jc w:val="both"/>
      </w:pPr>
      <w:r>
        <w:drawing>
          <wp:inline distT="0" distB="0" distL="114300" distR="114300">
            <wp:extent cx="5261610" cy="2497455"/>
            <wp:effectExtent l="0" t="0" r="1143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5261610" cy="2497455"/>
                    </a:xfrm>
                    <a:prstGeom prst="rect">
                      <a:avLst/>
                    </a:prstGeom>
                    <a:noFill/>
                    <a:ln>
                      <a:noFill/>
                    </a:ln>
                  </pic:spPr>
                </pic:pic>
              </a:graphicData>
            </a:graphic>
          </wp:inline>
        </w:drawing>
      </w:r>
    </w:p>
    <w:p>
      <w:pPr>
        <w:widowControl w:val="0"/>
        <w:numPr>
          <w:ilvl w:val="0"/>
          <w:numId w:val="0"/>
        </w:numPr>
        <w:tabs>
          <w:tab w:val="left" w:pos="312"/>
        </w:tabs>
        <w:jc w:val="both"/>
      </w:pPr>
    </w:p>
    <w:p>
      <w:pPr>
        <w:widowControl w:val="0"/>
        <w:numPr>
          <w:ilvl w:val="0"/>
          <w:numId w:val="1"/>
        </w:numPr>
        <w:ind w:left="0" w:leftChars="0"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目前</w:t>
      </w:r>
      <w:bookmarkStart w:id="0" w:name="_GoBack"/>
      <w:bookmarkEnd w:id="0"/>
      <w:r>
        <w:rPr>
          <w:rFonts w:hint="eastAsia" w:ascii="仿宋_GB2312" w:hAnsi="仿宋_GB2312" w:eastAsia="仿宋_GB2312" w:cs="仿宋_GB2312"/>
          <w:sz w:val="32"/>
          <w:szCs w:val="32"/>
          <w:lang w:val="en-US" w:eastAsia="zh-CN"/>
        </w:rPr>
        <w:t>可导出数据范围是2019年10月及之后的数据。</w:t>
      </w:r>
    </w:p>
    <w:p>
      <w:pPr>
        <w:widowControl w:val="0"/>
        <w:numPr>
          <w:ilvl w:val="0"/>
          <w:numId w:val="0"/>
        </w:numPr>
        <w:ind w:leftChars="0"/>
        <w:jc w:val="both"/>
      </w:pPr>
      <w:r>
        <w:drawing>
          <wp:inline distT="0" distB="0" distL="114300" distR="114300">
            <wp:extent cx="5271770" cy="2038985"/>
            <wp:effectExtent l="0" t="0" r="1270" b="317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2"/>
                    <a:stretch>
                      <a:fillRect/>
                    </a:stretch>
                  </pic:blipFill>
                  <pic:spPr>
                    <a:xfrm>
                      <a:off x="0" y="0"/>
                      <a:ext cx="5271770" cy="2038985"/>
                    </a:xfrm>
                    <a:prstGeom prst="rect">
                      <a:avLst/>
                    </a:prstGeom>
                    <a:noFill/>
                    <a:ln>
                      <a:noFill/>
                    </a:ln>
                  </pic:spPr>
                </pic:pic>
              </a:graphicData>
            </a:graphic>
          </wp:inline>
        </w:drawing>
      </w:r>
    </w:p>
    <w:p>
      <w:pPr>
        <w:widowControl w:val="0"/>
        <w:numPr>
          <w:ilvl w:val="0"/>
          <w:numId w:val="1"/>
        </w:numPr>
        <w:ind w:left="0" w:leftChars="0" w:firstLine="0" w:firstLine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当前增值税发票综合服务平台只支持按月导出。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B42A8"/>
    <w:multiLevelType w:val="singleLevel"/>
    <w:tmpl w:val="8BEB42A8"/>
    <w:lvl w:ilvl="0" w:tentative="0">
      <w:start w:val="4"/>
      <w:numFmt w:val="decimal"/>
      <w:lvlText w:val="%1."/>
      <w:lvlJc w:val="left"/>
      <w:pPr>
        <w:tabs>
          <w:tab w:val="left" w:pos="312"/>
        </w:tabs>
      </w:pPr>
    </w:lvl>
  </w:abstractNum>
  <w:abstractNum w:abstractNumId="1">
    <w:nsid w:val="3184B230"/>
    <w:multiLevelType w:val="singleLevel"/>
    <w:tmpl w:val="3184B230"/>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125E8A"/>
    <w:rsid w:val="01F8332F"/>
    <w:rsid w:val="071B4038"/>
    <w:rsid w:val="188259B7"/>
    <w:rsid w:val="19D96275"/>
    <w:rsid w:val="1BF57AF7"/>
    <w:rsid w:val="22B221D0"/>
    <w:rsid w:val="248B5067"/>
    <w:rsid w:val="485138E5"/>
    <w:rsid w:val="4941121E"/>
    <w:rsid w:val="4D125E8A"/>
    <w:rsid w:val="56B24525"/>
    <w:rsid w:val="58F40C31"/>
    <w:rsid w:val="5BDD1C70"/>
    <w:rsid w:val="5F236467"/>
    <w:rsid w:val="71F42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2023-02-28T08:15:00Z</dcterms:created>
  <dc:creator>于俊龙</dc:creator>
  <cp:lastModifiedBy>于俊龙</cp:lastModifiedBy>
  <dcterms:modified xsi:type="dcterms:W3CDTF">2023-03-01T13:17:24Z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93353CACBE2B45BF96B5ED37A9CE1FFF</vt:lpwstr>
  </property>
</Properties>
</file>