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ind w:firstLine="64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spacing w:before="312" w:beforeLines="10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国能e购发版内容公告</w:t>
      </w:r>
    </w:p>
    <w:p>
      <w:pPr>
        <w:spacing w:after="312" w:afterLines="100"/>
        <w:ind w:firstLine="0" w:firstLineChars="0"/>
        <w:jc w:val="center"/>
        <w:rPr>
          <w:rFonts w:ascii="楷体_GB2312" w:hAnsi="楷体_GB2312" w:eastAsia="楷体_GB2312" w:cs="楷体_GB2312"/>
          <w:b/>
          <w:bCs/>
          <w:szCs w:val="32"/>
        </w:rPr>
      </w:pPr>
      <w:r>
        <w:rPr>
          <w:rFonts w:hint="eastAsia" w:ascii="楷体_GB2312" w:hAnsi="楷体_GB2312" w:eastAsia="楷体_GB2312" w:cs="楷体_GB2312"/>
          <w:b/>
          <w:bCs/>
          <w:szCs w:val="32"/>
        </w:rPr>
        <w:t>（2022.1</w:t>
      </w:r>
      <w:r>
        <w:rPr>
          <w:rFonts w:ascii="楷体_GB2312" w:hAnsi="楷体_GB2312" w:eastAsia="楷体_GB2312" w:cs="楷体_GB2312"/>
          <w:b/>
          <w:bCs/>
          <w:szCs w:val="32"/>
        </w:rPr>
        <w:t>2</w:t>
      </w:r>
      <w:r>
        <w:rPr>
          <w:rFonts w:hint="eastAsia" w:ascii="楷体_GB2312" w:hAnsi="楷体_GB2312" w:eastAsia="楷体_GB2312" w:cs="楷体_GB2312"/>
          <w:b/>
          <w:bCs/>
          <w:szCs w:val="32"/>
        </w:rPr>
        <w:t>.</w:t>
      </w:r>
      <w:r>
        <w:rPr>
          <w:rFonts w:hint="eastAsia" w:ascii="楷体_GB2312" w:hAnsi="楷体_GB2312" w:eastAsia="楷体_GB2312" w:cs="楷体_GB2312"/>
          <w:b/>
          <w:bCs/>
          <w:szCs w:val="32"/>
          <w:lang w:val="en-US" w:eastAsia="zh-CN"/>
        </w:rPr>
        <w:t>29</w:t>
      </w:r>
      <w:r>
        <w:rPr>
          <w:rFonts w:hint="eastAsia" w:ascii="楷体_GB2312" w:hAnsi="楷体_GB2312" w:eastAsia="楷体_GB2312" w:cs="楷体_GB2312"/>
          <w:b/>
          <w:bCs/>
          <w:szCs w:val="32"/>
        </w:rPr>
        <w:t>）</w:t>
      </w:r>
    </w:p>
    <w:p>
      <w:pPr>
        <w:widowControl w:val="0"/>
        <w:ind w:firstLine="640"/>
        <w:rPr>
          <w:szCs w:val="32"/>
        </w:rPr>
      </w:pPr>
      <w:r>
        <w:rPr>
          <w:rFonts w:hint="eastAsia"/>
          <w:szCs w:val="32"/>
        </w:rPr>
        <w:t>国能e购将于2022年1</w:t>
      </w:r>
      <w:r>
        <w:rPr>
          <w:szCs w:val="32"/>
        </w:rPr>
        <w:t>2</w:t>
      </w:r>
      <w:r>
        <w:rPr>
          <w:rFonts w:hint="eastAsia"/>
          <w:szCs w:val="32"/>
        </w:rPr>
        <w:t>月</w:t>
      </w:r>
      <w:r>
        <w:rPr>
          <w:rFonts w:hint="eastAsia"/>
          <w:szCs w:val="32"/>
          <w:lang w:val="en-US" w:eastAsia="zh-CN"/>
        </w:rPr>
        <w:t>29</w:t>
      </w:r>
      <w:r>
        <w:rPr>
          <w:rFonts w:hint="eastAsia"/>
          <w:szCs w:val="32"/>
        </w:rPr>
        <w:t>日</w:t>
      </w:r>
      <w:r>
        <w:rPr>
          <w:rFonts w:hint="default"/>
          <w:szCs w:val="32"/>
          <w:lang w:val="en-US"/>
        </w:rPr>
        <w:t>20</w:t>
      </w:r>
      <w:r>
        <w:rPr>
          <w:rFonts w:hint="eastAsia"/>
          <w:szCs w:val="32"/>
        </w:rPr>
        <w:t>:00进行发版，本次发版主要内容如下：</w:t>
      </w:r>
    </w:p>
    <w:p>
      <w:pPr>
        <w:pStyle w:val="3"/>
        <w:widowControl w:val="0"/>
        <w:spacing w:before="120" w:line="560" w:lineRule="exact"/>
        <w:ind w:firstLine="640"/>
        <w:rPr>
          <w:rFonts w:hint="eastAsia" w:ascii="仿宋_GB2312" w:hAnsi="仿宋_GB2312" w:eastAsia="仿宋_GB2312"/>
          <w:b/>
          <w:bCs/>
          <w:color w:val="000000"/>
          <w:kern w:val="2"/>
          <w:sz w:val="32"/>
          <w:szCs w:val="32"/>
          <w:lang w:eastAsia="zh-CN"/>
        </w:rPr>
      </w:pPr>
      <w:r>
        <w:rPr>
          <w:rFonts w:hint="eastAsia" w:ascii="仿宋_GB2312" w:hAnsi="仿宋_GB2312" w:eastAsia="仿宋_GB2312"/>
          <w:b/>
          <w:bCs/>
          <w:color w:val="000000"/>
          <w:kern w:val="2"/>
          <w:sz w:val="32"/>
          <w:szCs w:val="32"/>
          <w:lang w:val="en-US" w:eastAsia="zh-CN"/>
        </w:rPr>
        <w:t>一</w:t>
      </w:r>
      <w:r>
        <w:rPr>
          <w:rFonts w:ascii="仿宋_GB2312" w:hAnsi="仿宋_GB2312" w:eastAsia="仿宋_GB2312"/>
          <w:b/>
          <w:bCs/>
          <w:color w:val="000000"/>
          <w:kern w:val="2"/>
          <w:sz w:val="32"/>
          <w:szCs w:val="32"/>
        </w:rPr>
        <w:t>、非招标采购</w:t>
      </w:r>
      <w:r>
        <w:rPr>
          <w:rFonts w:hint="eastAsia" w:ascii="仿宋_GB2312" w:hAnsi="仿宋_GB2312" w:eastAsia="仿宋_GB2312"/>
          <w:b/>
          <w:bCs/>
          <w:color w:val="000000"/>
          <w:kern w:val="2"/>
          <w:sz w:val="32"/>
          <w:szCs w:val="32"/>
          <w:lang w:val="en-US" w:eastAsia="zh-CN"/>
        </w:rPr>
        <w:t>优化</w:t>
      </w:r>
    </w:p>
    <w:p>
      <w:pPr>
        <w:pStyle w:val="3"/>
        <w:widowControl w:val="0"/>
        <w:numPr>
          <w:ilvl w:val="0"/>
          <w:numId w:val="1"/>
        </w:numPr>
        <w:spacing w:before="120" w:line="560" w:lineRule="exact"/>
        <w:ind w:firstLine="64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根据采购效率指标项目（SRM）的相关要求</w:t>
      </w:r>
      <w:r>
        <w:rPr>
          <w:rFonts w:hint="eastAsia" w:ascii="仿宋_GB2312" w:hAnsi="仿宋_GB2312" w:eastAsia="仿宋_GB2312"/>
          <w:color w:val="000000"/>
          <w:kern w:val="2"/>
          <w:sz w:val="32"/>
          <w:szCs w:val="32"/>
          <w:lang w:eastAsia="zh-CN"/>
        </w:rPr>
        <w:t>，</w:t>
      </w:r>
      <w:r>
        <w:rPr>
          <w:rFonts w:hint="eastAsia" w:ascii="仿宋_GB2312" w:hAnsi="仿宋_GB2312" w:eastAsia="仿宋_GB2312"/>
          <w:color w:val="000000"/>
          <w:kern w:val="2"/>
          <w:sz w:val="32"/>
          <w:szCs w:val="32"/>
        </w:rPr>
        <w:t>供应商响应成交结果服务增加异议用时</w:t>
      </w:r>
      <w:r>
        <w:rPr>
          <w:rFonts w:hint="eastAsia" w:ascii="仿宋_GB2312" w:hAnsi="仿宋_GB2312" w:eastAsia="仿宋_GB2312"/>
          <w:color w:val="000000"/>
          <w:kern w:val="2"/>
          <w:sz w:val="32"/>
          <w:szCs w:val="32"/>
          <w:lang w:eastAsia="zh-CN"/>
        </w:rPr>
        <w:t>，</w:t>
      </w:r>
      <w:r>
        <w:rPr>
          <w:rFonts w:hint="eastAsia" w:ascii="仿宋_GB2312" w:hAnsi="仿宋_GB2312" w:eastAsia="仿宋_GB2312"/>
          <w:color w:val="000000"/>
          <w:kern w:val="2"/>
          <w:sz w:val="32"/>
          <w:szCs w:val="32"/>
          <w:lang w:val="en-US" w:eastAsia="zh-CN"/>
        </w:rPr>
        <w:t>按询价单</w:t>
      </w:r>
      <w:r>
        <w:rPr>
          <w:rFonts w:hint="eastAsia" w:ascii="仿宋_GB2312" w:hAnsi="仿宋_GB2312" w:eastAsia="仿宋_GB2312"/>
          <w:color w:val="000000"/>
          <w:kern w:val="2"/>
          <w:sz w:val="32"/>
          <w:szCs w:val="32"/>
          <w:lang w:eastAsia="zh-CN"/>
        </w:rPr>
        <w:t>统计</w:t>
      </w:r>
      <w:r>
        <w:rPr>
          <w:rFonts w:hint="eastAsia" w:ascii="仿宋_GB2312" w:hAnsi="仿宋_GB2312" w:eastAsia="仿宋_GB2312"/>
          <w:color w:val="000000"/>
          <w:kern w:val="2"/>
          <w:sz w:val="32"/>
          <w:szCs w:val="32"/>
          <w:lang w:val="en-US" w:eastAsia="zh-CN"/>
        </w:rPr>
        <w:t>已完成状态异议</w:t>
      </w:r>
      <w:r>
        <w:rPr>
          <w:rFonts w:hint="eastAsia" w:ascii="仿宋_GB2312" w:hAnsi="仿宋_GB2312" w:eastAsia="仿宋_GB2312"/>
          <w:color w:val="000000"/>
          <w:kern w:val="2"/>
          <w:sz w:val="32"/>
          <w:szCs w:val="32"/>
          <w:lang w:eastAsia="zh-CN"/>
        </w:rPr>
        <w:t>总用时（</w:t>
      </w:r>
      <w:r>
        <w:rPr>
          <w:rFonts w:hint="eastAsia" w:ascii="仿宋_GB2312" w:hAnsi="仿宋_GB2312" w:eastAsia="仿宋_GB2312"/>
          <w:color w:val="000000"/>
          <w:kern w:val="2"/>
          <w:sz w:val="32"/>
          <w:szCs w:val="32"/>
          <w:lang w:val="en-US" w:eastAsia="zh-CN"/>
        </w:rPr>
        <w:t>异议受理完成时间－异议提出时间</w:t>
      </w:r>
      <w:r>
        <w:rPr>
          <w:rFonts w:hint="eastAsia" w:ascii="仿宋_GB2312" w:hAnsi="仿宋_GB2312" w:eastAsia="仿宋_GB2312"/>
          <w:color w:val="000000"/>
          <w:kern w:val="2"/>
          <w:sz w:val="32"/>
          <w:szCs w:val="32"/>
          <w:lang w:eastAsia="zh-CN"/>
        </w:rPr>
        <w:t>），</w:t>
      </w:r>
      <w:r>
        <w:rPr>
          <w:rFonts w:hint="eastAsia" w:ascii="仿宋_GB2312" w:hAnsi="仿宋_GB2312" w:eastAsia="仿宋_GB2312"/>
          <w:color w:val="000000"/>
          <w:kern w:val="2"/>
          <w:sz w:val="32"/>
          <w:szCs w:val="32"/>
          <w:lang w:val="en-US" w:eastAsia="zh-CN"/>
        </w:rPr>
        <w:t>多条异议时</w:t>
      </w:r>
      <w:r>
        <w:rPr>
          <w:rFonts w:hint="eastAsia" w:ascii="仿宋_GB2312" w:hAnsi="仿宋_GB2312" w:eastAsia="仿宋_GB2312"/>
          <w:color w:val="000000"/>
          <w:kern w:val="2"/>
          <w:sz w:val="32"/>
          <w:szCs w:val="32"/>
          <w:lang w:eastAsia="zh-CN"/>
        </w:rPr>
        <w:t>重叠的时间只计算一次，</w:t>
      </w:r>
      <w:r>
        <w:rPr>
          <w:rFonts w:hint="eastAsia" w:ascii="仿宋_GB2312" w:hAnsi="仿宋_GB2312" w:eastAsia="仿宋_GB2312"/>
          <w:color w:val="000000"/>
          <w:kern w:val="2"/>
          <w:sz w:val="32"/>
          <w:szCs w:val="32"/>
          <w:lang w:val="en-US" w:eastAsia="zh-CN"/>
        </w:rPr>
        <w:t>精确到</w:t>
      </w:r>
      <w:r>
        <w:rPr>
          <w:rFonts w:hint="eastAsia" w:ascii="仿宋_GB2312" w:hAnsi="仿宋_GB2312" w:eastAsia="仿宋_GB2312"/>
          <w:color w:val="000000"/>
          <w:kern w:val="2"/>
          <w:sz w:val="32"/>
          <w:szCs w:val="32"/>
          <w:lang w:eastAsia="zh-CN"/>
        </w:rPr>
        <w:t>天数，保留2位小数。</w:t>
      </w:r>
    </w:p>
    <w:p>
      <w:pPr>
        <w:pStyle w:val="3"/>
        <w:widowControl w:val="0"/>
        <w:numPr>
          <w:ilvl w:val="0"/>
          <w:numId w:val="1"/>
        </w:numPr>
        <w:spacing w:before="120" w:line="560" w:lineRule="exact"/>
        <w:ind w:firstLine="64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供应商培训</w:t>
      </w:r>
      <w:r>
        <w:rPr>
          <w:rFonts w:hint="eastAsia" w:ascii="仿宋_GB2312" w:hAnsi="仿宋_GB2312" w:eastAsia="仿宋_GB2312"/>
          <w:color w:val="000000"/>
          <w:kern w:val="2"/>
          <w:sz w:val="32"/>
          <w:szCs w:val="32"/>
          <w:lang w:val="en-US" w:eastAsia="zh-CN"/>
        </w:rPr>
        <w:t>优化</w:t>
      </w:r>
    </w:p>
    <w:p>
      <w:pPr>
        <w:widowControl w:val="0"/>
        <w:ind w:firstLine="640"/>
        <w:rPr>
          <w:rFonts w:hint="eastAsia"/>
          <w:szCs w:val="32"/>
        </w:rPr>
      </w:pPr>
      <w:r>
        <w:rPr>
          <w:rFonts w:hint="eastAsia"/>
          <w:szCs w:val="32"/>
        </w:rPr>
        <w:t>供应商培训专责配置题目增加解析，按题目类型导出模板</w:t>
      </w:r>
      <w:r>
        <w:rPr>
          <w:rFonts w:hint="eastAsia"/>
          <w:szCs w:val="32"/>
          <w:lang w:eastAsia="zh-CN"/>
        </w:rPr>
        <w:t>、</w:t>
      </w:r>
      <w:r>
        <w:rPr>
          <w:rFonts w:hint="eastAsia"/>
          <w:szCs w:val="32"/>
        </w:rPr>
        <w:t>导入题目；供应商查看我的培训分为可培训和已失效页签展示；供应商答题后展示测试结果页，错题展示题目解析。</w:t>
      </w:r>
    </w:p>
    <w:p>
      <w:pPr>
        <w:pStyle w:val="3"/>
        <w:widowControl w:val="0"/>
        <w:numPr>
          <w:ilvl w:val="0"/>
          <w:numId w:val="1"/>
        </w:numPr>
        <w:spacing w:before="120" w:line="560" w:lineRule="exact"/>
        <w:ind w:firstLine="64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专家培训</w:t>
      </w:r>
      <w:r>
        <w:rPr>
          <w:rFonts w:hint="eastAsia" w:ascii="仿宋_GB2312" w:hAnsi="仿宋_GB2312" w:eastAsia="仿宋_GB2312"/>
          <w:color w:val="000000"/>
          <w:kern w:val="2"/>
          <w:sz w:val="32"/>
          <w:szCs w:val="32"/>
          <w:lang w:val="en-US" w:eastAsia="zh-CN"/>
        </w:rPr>
        <w:t>优化</w:t>
      </w:r>
    </w:p>
    <w:p>
      <w:pPr>
        <w:widowControl w:val="0"/>
        <w:ind w:firstLine="640"/>
        <w:rPr>
          <w:rFonts w:hint="eastAsia"/>
          <w:szCs w:val="32"/>
        </w:rPr>
      </w:pPr>
      <w:r>
        <w:rPr>
          <w:rFonts w:hint="eastAsia"/>
          <w:szCs w:val="32"/>
        </w:rPr>
        <w:t>专家培训专责配置题目增加解析，按题目类型导出模板</w:t>
      </w:r>
      <w:r>
        <w:rPr>
          <w:rFonts w:hint="eastAsia"/>
          <w:szCs w:val="32"/>
          <w:lang w:eastAsia="zh-CN"/>
        </w:rPr>
        <w:t>、</w:t>
      </w:r>
      <w:r>
        <w:rPr>
          <w:rFonts w:hint="eastAsia"/>
          <w:szCs w:val="32"/>
        </w:rPr>
        <w:t>导入题目；专家培训专责查看培训列表时，可点击未参加培训人员数查看该培训未参加培训的专家人员名单；专家增加培训评价功能；专家答题后展示测试结果页，错题展示题目解析。</w:t>
      </w:r>
    </w:p>
    <w:p>
      <w:pPr>
        <w:numPr>
          <w:ilvl w:val="0"/>
          <w:numId w:val="1"/>
        </w:numPr>
        <w:bidi w:val="0"/>
        <w:ind w:left="0" w:leftChars="0" w:firstLine="640" w:firstLineChars="200"/>
        <w:rPr>
          <w:rFonts w:hint="eastAsia"/>
          <w:lang w:val="en-US" w:eastAsia="zh-CN"/>
        </w:rPr>
      </w:pPr>
      <w:r>
        <w:rPr>
          <w:rFonts w:hint="eastAsia"/>
          <w:lang w:val="en-US" w:eastAsia="zh-CN"/>
        </w:rPr>
        <w:t>失信行为管理优化</w:t>
      </w:r>
    </w:p>
    <w:p>
      <w:pPr>
        <w:pStyle w:val="2"/>
        <w:numPr>
          <w:ilvl w:val="0"/>
          <w:numId w:val="0"/>
        </w:numPr>
        <w:ind w:leftChars="200"/>
        <w:jc w:val="both"/>
        <w:rPr>
          <w:rFonts w:hint="eastAsia"/>
          <w:lang w:val="en-US" w:eastAsia="zh-CN"/>
        </w:rPr>
      </w:pPr>
      <w:r>
        <w:rPr>
          <w:rFonts w:hint="eastAsia"/>
          <w:lang w:val="en-US" w:eastAsia="zh-CN"/>
        </w:rPr>
        <w:t>供应商澄清期由5个自然日修改为5个工作日。</w:t>
      </w:r>
    </w:p>
    <w:p>
      <w:pPr>
        <w:numPr>
          <w:ilvl w:val="0"/>
          <w:numId w:val="1"/>
        </w:numPr>
        <w:ind w:left="0" w:leftChars="0" w:firstLine="640" w:firstLineChars="200"/>
        <w:rPr>
          <w:rFonts w:hint="eastAsia"/>
          <w:lang w:val="en-US" w:eastAsia="zh-CN"/>
        </w:rPr>
      </w:pPr>
      <w:r>
        <w:rPr>
          <w:rFonts w:hint="eastAsia"/>
          <w:lang w:val="en-US" w:eastAsia="zh-CN"/>
        </w:rPr>
        <w:t>新竞价平台优化</w:t>
      </w:r>
    </w:p>
    <w:p>
      <w:pPr>
        <w:widowControl w:val="0"/>
        <w:ind w:firstLine="640"/>
        <w:rPr>
          <w:rFonts w:hint="default"/>
          <w:szCs w:val="32"/>
          <w:lang w:val="en-US" w:eastAsia="zh-CN"/>
        </w:rPr>
      </w:pPr>
      <w:r>
        <w:rPr>
          <w:rFonts w:hint="eastAsia"/>
          <w:szCs w:val="32"/>
          <w:lang w:val="en-US" w:eastAsia="zh-CN"/>
        </w:rPr>
        <w:t>解决竞价采购无法生成上会材料以及上会材料传输SRM时乱码的问题；解决分量竞价结果传输SRM后未中标供应商显示推荐说明的问题；解决竞价综合查询功能竞价项目名称跳转页面不对的问题。</w:t>
      </w:r>
    </w:p>
    <w:p>
      <w:pPr>
        <w:pStyle w:val="3"/>
        <w:widowControl w:val="0"/>
        <w:numPr>
          <w:ilvl w:val="0"/>
          <w:numId w:val="2"/>
        </w:numPr>
        <w:spacing w:before="120" w:line="560" w:lineRule="exact"/>
        <w:ind w:firstLine="640"/>
        <w:rPr>
          <w:rFonts w:hint="eastAsia"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国能e购商城专区外部对接（上海电气）</w:t>
      </w:r>
    </w:p>
    <w:p>
      <w:pPr>
        <w:numPr>
          <w:ilvl w:val="0"/>
          <w:numId w:val="0"/>
        </w:numPr>
        <w:rPr>
          <w:rFonts w:hint="eastAsia"/>
          <w:lang w:val="en-US" w:eastAsia="zh-CN"/>
        </w:rPr>
      </w:pPr>
      <w:r>
        <w:rPr>
          <w:rFonts w:hint="eastAsia"/>
          <w:lang w:val="en-US" w:eastAsia="zh-CN"/>
        </w:rPr>
        <w:t xml:space="preserve">      实现将专区“待确认”状态订单数据全量推送到外部供应商API搭建，可以将SRM来源订单、ERP来源订单、购物车下的各类调价机制协议下订单等订单类型在单据状态在流转到“待确认”状态时触发推送到外部上海电气。</w:t>
      </w:r>
    </w:p>
    <w:p>
      <w:pPr>
        <w:pStyle w:val="3"/>
        <w:widowControl w:val="0"/>
        <w:numPr>
          <w:ilvl w:val="0"/>
          <w:numId w:val="2"/>
        </w:numPr>
        <w:spacing w:before="120" w:line="560" w:lineRule="exact"/>
        <w:ind w:firstLine="640"/>
        <w:rPr>
          <w:rFonts w:hint="eastAsia"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国能e购专区/超市协议、商品审批流程调整</w:t>
      </w:r>
    </w:p>
    <w:p>
      <w:pPr>
        <w:rPr>
          <w:rFonts w:hint="eastAsia"/>
          <w:lang w:val="en-US" w:eastAsia="zh-CN"/>
        </w:rPr>
      </w:pPr>
      <w:r>
        <w:rPr>
          <w:rFonts w:hint="eastAsia"/>
          <w:lang w:val="en-US" w:eastAsia="zh-CN"/>
        </w:rPr>
        <w:t>1.专区协议新增审批流程调整</w:t>
      </w:r>
    </w:p>
    <w:p>
      <w:pPr>
        <w:rPr>
          <w:rFonts w:hint="eastAsia"/>
          <w:lang w:val="en-US" w:eastAsia="zh-CN"/>
        </w:rPr>
      </w:pPr>
      <w:r>
        <w:rPr>
          <w:rFonts w:hint="eastAsia"/>
          <w:lang w:val="en-US" w:eastAsia="zh-CN"/>
        </w:rPr>
        <w:t>各经营主体【电商业务部专责】提报——各经营主体【专区协议一级审核】进行审核——各经营主体【专区协议二级审核】进行审批——业务管理部【专区协议审批（业务管理部）】审批。</w:t>
      </w:r>
      <w:bookmarkStart w:id="0" w:name="_GoBack"/>
      <w:bookmarkEnd w:id="0"/>
    </w:p>
    <w:p>
      <w:pPr>
        <w:rPr>
          <w:rFonts w:hint="eastAsia"/>
          <w:lang w:val="en-US" w:eastAsia="zh-CN"/>
        </w:rPr>
      </w:pPr>
      <w:r>
        <w:rPr>
          <w:rFonts w:hint="eastAsia"/>
          <w:lang w:val="en-US" w:eastAsia="zh-CN"/>
        </w:rPr>
        <w:t>2.专区协议变更审批流程调整：</w:t>
      </w:r>
    </w:p>
    <w:p>
      <w:pPr>
        <w:rPr>
          <w:rFonts w:hint="eastAsia"/>
          <w:lang w:val="en-US" w:eastAsia="zh-CN"/>
        </w:rPr>
      </w:pPr>
      <w:r>
        <w:rPr>
          <w:rFonts w:hint="eastAsia"/>
          <w:lang w:val="en-US" w:eastAsia="zh-CN"/>
        </w:rPr>
        <w:t>（1）业务管理部审批：协议延期、协议补充、协议终止</w:t>
      </w:r>
    </w:p>
    <w:p>
      <w:pPr>
        <w:rPr>
          <w:rFonts w:hint="eastAsia"/>
          <w:lang w:val="en-US" w:eastAsia="zh-CN"/>
        </w:rPr>
      </w:pPr>
      <w:r>
        <w:rPr>
          <w:rFonts w:hint="eastAsia"/>
          <w:lang w:val="en-US" w:eastAsia="zh-CN"/>
        </w:rPr>
        <w:t>各经营主体【电商业务部专责】提报——各经营主体【专区协议一级审核】进行审核——各经营主体【专区协议二级审核】进行审批——业务管理部【专区协议审批（业务管理部）】审批</w:t>
      </w:r>
    </w:p>
    <w:p>
      <w:pPr>
        <w:rPr>
          <w:rFonts w:hint="eastAsia"/>
          <w:lang w:val="en-US" w:eastAsia="zh-CN"/>
        </w:rPr>
      </w:pPr>
      <w:r>
        <w:rPr>
          <w:rFonts w:hint="eastAsia"/>
          <w:lang w:val="en-US" w:eastAsia="zh-CN"/>
        </w:rPr>
        <w:t>（2）经营主体2级审批：其他变更、调价、暂停、启用</w:t>
      </w:r>
    </w:p>
    <w:p>
      <w:pPr>
        <w:rPr>
          <w:rFonts w:hint="eastAsia"/>
          <w:lang w:val="en-US" w:eastAsia="zh-CN"/>
        </w:rPr>
      </w:pPr>
      <w:r>
        <w:rPr>
          <w:rFonts w:hint="eastAsia"/>
          <w:lang w:val="en-US" w:eastAsia="zh-CN"/>
        </w:rPr>
        <w:t>各经营主体【电商业务部专责】提报——各经营主体【专区协议一级审核】进行审核——各经营主体【专区协议二级审核】进行审批。</w:t>
      </w:r>
    </w:p>
    <w:p>
      <w:pPr>
        <w:rPr>
          <w:rFonts w:hint="eastAsia"/>
          <w:lang w:val="en-US" w:eastAsia="zh-CN"/>
        </w:rPr>
      </w:pPr>
      <w:r>
        <w:rPr>
          <w:rFonts w:hint="eastAsia"/>
          <w:lang w:val="en-US" w:eastAsia="zh-CN"/>
        </w:rPr>
        <w:t>3.商品下架、恢复上架、商品编辑：经营主体2级审批</w:t>
      </w:r>
    </w:p>
    <w:p>
      <w:pPr>
        <w:rPr>
          <w:rFonts w:hint="eastAsia"/>
          <w:lang w:val="en-US" w:eastAsia="zh-CN"/>
        </w:rPr>
      </w:pPr>
      <w:r>
        <w:rPr>
          <w:rFonts w:hint="eastAsia"/>
          <w:lang w:val="en-US" w:eastAsia="zh-CN"/>
        </w:rPr>
        <w:t>各经营主体【电商业务部专责】提报——各经营主体【专区协议一级审核】进行审核——各经营主体【专区协议二级审核】进行审批。</w:t>
      </w:r>
    </w:p>
    <w:p>
      <w:pPr>
        <w:rPr>
          <w:rFonts w:hint="eastAsia"/>
          <w:lang w:val="en-US" w:eastAsia="zh-CN"/>
        </w:rPr>
      </w:pPr>
      <w:r>
        <w:rPr>
          <w:rFonts w:hint="eastAsia"/>
          <w:lang w:val="en-US" w:eastAsia="zh-CN"/>
        </w:rPr>
        <w:t>4.超市协议新增业务：3级审批</w:t>
      </w:r>
    </w:p>
    <w:p>
      <w:pPr>
        <w:rPr>
          <w:rFonts w:hint="eastAsia"/>
          <w:lang w:val="en-US" w:eastAsia="zh-CN"/>
        </w:rPr>
      </w:pPr>
      <w:r>
        <w:rPr>
          <w:rFonts w:hint="eastAsia"/>
          <w:lang w:val="en-US" w:eastAsia="zh-CN"/>
        </w:rPr>
        <w:t>经营主体（北京配送）【超市协议专责】提报——经营主体（北京配送）【超市协议一审】进行审核——经营主体（北京配送）【超市协议二审】进行审批——业务管理部【超市协议三审（业务管理部）】审批。</w:t>
      </w:r>
    </w:p>
    <w:p>
      <w:pPr>
        <w:rPr>
          <w:rFonts w:hint="eastAsia"/>
          <w:lang w:val="en-US" w:eastAsia="zh-CN"/>
        </w:rPr>
      </w:pPr>
      <w:r>
        <w:rPr>
          <w:rFonts w:hint="eastAsia"/>
          <w:lang w:val="en-US" w:eastAsia="zh-CN"/>
        </w:rPr>
        <w:t>5.超市协议变更：</w:t>
      </w:r>
    </w:p>
    <w:p>
      <w:pPr>
        <w:rPr>
          <w:rFonts w:hint="eastAsia"/>
          <w:lang w:val="en-US" w:eastAsia="zh-CN"/>
        </w:rPr>
      </w:pPr>
      <w:r>
        <w:rPr>
          <w:rFonts w:hint="eastAsia"/>
          <w:lang w:val="en-US" w:eastAsia="zh-CN"/>
        </w:rPr>
        <w:t>（1）需业务管理部审批：状态变更、延期变更</w:t>
      </w:r>
    </w:p>
    <w:p>
      <w:pPr>
        <w:rPr>
          <w:rFonts w:hint="eastAsia"/>
          <w:lang w:val="en-US" w:eastAsia="zh-CN"/>
        </w:rPr>
      </w:pPr>
      <w:r>
        <w:rPr>
          <w:rFonts w:hint="eastAsia"/>
          <w:lang w:val="en-US" w:eastAsia="zh-CN"/>
        </w:rPr>
        <w:t>经营主体（北京配送）【超市协议专责】提报——经营主体（北京配送）【超市协议一审】进行审核——经营主体（北京配送）【超市协议二审】进行审批——业务管理部【超市协议三审（业务管理部）】审批。</w:t>
      </w:r>
    </w:p>
    <w:p>
      <w:pPr>
        <w:rPr>
          <w:rFonts w:hint="eastAsia"/>
          <w:lang w:val="en-US" w:eastAsia="zh-CN"/>
        </w:rPr>
      </w:pPr>
      <w:r>
        <w:rPr>
          <w:rFonts w:hint="eastAsia"/>
          <w:lang w:val="en-US" w:eastAsia="zh-CN"/>
        </w:rPr>
        <w:t>（2）经营主体自行审批：明细变更、其他变更</w:t>
      </w:r>
    </w:p>
    <w:p>
      <w:pPr>
        <w:rPr>
          <w:rFonts w:hint="eastAsia"/>
          <w:lang w:val="en-US" w:eastAsia="zh-CN"/>
        </w:rPr>
      </w:pPr>
      <w:r>
        <w:rPr>
          <w:rFonts w:hint="eastAsia"/>
          <w:lang w:val="en-US" w:eastAsia="zh-CN"/>
        </w:rPr>
        <w:t>经营主体（北京配送）【超市协议专责】提报——经营主体（北京配送）【超市协议一审】进行审核——经营主体（北京配送）【超市协议二审】进行审批</w:t>
      </w:r>
    </w:p>
    <w:p>
      <w:pPr>
        <w:pStyle w:val="3"/>
        <w:widowControl w:val="0"/>
        <w:numPr>
          <w:ilvl w:val="0"/>
          <w:numId w:val="2"/>
        </w:numPr>
        <w:spacing w:before="120" w:line="560" w:lineRule="exact"/>
        <w:ind w:firstLine="640"/>
        <w:rPr>
          <w:rFonts w:hint="default"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法务合同号对接报账系统</w:t>
      </w:r>
    </w:p>
    <w:p>
      <w:pPr>
        <w:ind w:firstLine="640" w:firstLineChars="200"/>
        <w:rPr>
          <w:rFonts w:hint="eastAsia" w:ascii="仿宋_GB2312" w:hAnsi="黑体" w:eastAsia="仿宋_GB2312"/>
          <w:b w:val="0"/>
          <w:bCs w:val="0"/>
          <w:sz w:val="32"/>
          <w:szCs w:val="32"/>
          <w:lang w:val="en-US" w:eastAsia="zh-CN"/>
        </w:rPr>
      </w:pPr>
      <w:r>
        <w:rPr>
          <w:rFonts w:hint="eastAsia" w:hAnsi="黑体"/>
          <w:b w:val="0"/>
          <w:bCs w:val="0"/>
          <w:sz w:val="32"/>
          <w:szCs w:val="32"/>
          <w:lang w:val="en-US" w:eastAsia="zh-CN"/>
        </w:rPr>
        <w:t>1.</w:t>
      </w:r>
      <w:r>
        <w:rPr>
          <w:rFonts w:hint="eastAsia" w:ascii="仿宋_GB2312" w:hAnsi="黑体" w:eastAsia="仿宋_GB2312"/>
          <w:b w:val="0"/>
          <w:bCs w:val="0"/>
          <w:sz w:val="32"/>
          <w:szCs w:val="32"/>
          <w:lang w:val="en-US" w:eastAsia="zh-CN"/>
        </w:rPr>
        <w:t>增加超市付款单、入库单法务合同号获取逻辑，并将合同号信息推送到报账系统。</w:t>
      </w:r>
    </w:p>
    <w:p>
      <w:pPr>
        <w:ind w:firstLine="640" w:firstLineChars="200"/>
        <w:rPr>
          <w:rFonts w:hint="eastAsia" w:hAnsi="黑体"/>
          <w:b w:val="0"/>
          <w:bCs w:val="0"/>
          <w:sz w:val="32"/>
          <w:szCs w:val="32"/>
          <w:lang w:val="en-US" w:eastAsia="zh-CN"/>
        </w:rPr>
      </w:pPr>
      <w:r>
        <w:rPr>
          <w:rFonts w:hint="eastAsia" w:hAnsi="黑体"/>
          <w:b w:val="0"/>
          <w:bCs w:val="0"/>
          <w:sz w:val="32"/>
          <w:szCs w:val="32"/>
          <w:lang w:val="en-US" w:eastAsia="zh-CN"/>
        </w:rPr>
        <w:t>2.结算主体专区业务开票通知单、入库单、付款单增加法务合同号。入库汇总单、付款申请单推送报账增加法务合同号信息。</w:t>
      </w:r>
    </w:p>
    <w:p>
      <w:pPr>
        <w:ind w:firstLine="640" w:firstLineChars="200"/>
        <w:rPr>
          <w:rFonts w:hint="eastAsia" w:hAnsi="黑体"/>
          <w:b w:val="0"/>
          <w:bCs w:val="0"/>
          <w:sz w:val="32"/>
          <w:szCs w:val="32"/>
          <w:lang w:val="en-US" w:eastAsia="zh-CN"/>
        </w:rPr>
      </w:pPr>
      <w:r>
        <w:rPr>
          <w:rFonts w:hint="eastAsia" w:hAnsi="黑体"/>
          <w:b w:val="0"/>
          <w:bCs w:val="0"/>
          <w:sz w:val="32"/>
          <w:szCs w:val="32"/>
          <w:lang w:val="en-US" w:eastAsia="zh-CN"/>
        </w:rPr>
        <w:t>3.商城电子超市和专区下游开票增加法务合同号维度，支持结算主体或采购单位按规则将订单或验收单汇总生成开票申请单。出库单汇总增加法务合同号维度，并将合同号信息推送至报账系统。</w:t>
      </w:r>
    </w:p>
    <w:p>
      <w:pPr>
        <w:pStyle w:val="3"/>
        <w:widowControl w:val="0"/>
        <w:numPr>
          <w:ilvl w:val="0"/>
          <w:numId w:val="2"/>
        </w:numPr>
        <w:spacing w:before="120" w:line="560" w:lineRule="exact"/>
        <w:ind w:firstLine="640"/>
        <w:rPr>
          <w:rFonts w:hint="default"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专区提票前退货退款</w:t>
      </w:r>
    </w:p>
    <w:p>
      <w:pPr>
        <w:ind w:firstLine="640" w:firstLineChars="200"/>
        <w:rPr>
          <w:rFonts w:hint="default" w:hAnsi="黑体" w:cs="Times New Roman"/>
          <w:b w:val="0"/>
          <w:bCs w:val="0"/>
          <w:sz w:val="32"/>
          <w:szCs w:val="32"/>
          <w:lang w:val="en-US" w:eastAsia="zh-CN"/>
        </w:rPr>
      </w:pPr>
      <w:r>
        <w:rPr>
          <w:rFonts w:hint="eastAsia" w:hAnsi="黑体" w:cs="Times New Roman"/>
          <w:b w:val="0"/>
          <w:bCs w:val="0"/>
          <w:sz w:val="32"/>
          <w:szCs w:val="32"/>
          <w:lang w:val="en-US" w:eastAsia="zh-CN"/>
        </w:rPr>
        <w:t>1.专区退货单原流程改造为：采购单位填报退货申请，由经营主体“专区退货一级审核”进行1审、“专区退货二级审核”进行2审，审批通过后供应商对退货申请进行确认。</w:t>
      </w:r>
    </w:p>
    <w:p>
      <w:pPr>
        <w:ind w:firstLine="640" w:firstLineChars="200"/>
        <w:rPr>
          <w:rFonts w:hint="default" w:hAnsi="黑体" w:cs="Times New Roman"/>
          <w:b w:val="0"/>
          <w:bCs w:val="0"/>
          <w:sz w:val="32"/>
          <w:szCs w:val="32"/>
          <w:lang w:val="en-US" w:eastAsia="zh-CN"/>
        </w:rPr>
      </w:pPr>
      <w:r>
        <w:rPr>
          <w:rFonts w:hint="eastAsia" w:hAnsi="黑体" w:cs="Times New Roman"/>
          <w:b w:val="0"/>
          <w:bCs w:val="0"/>
          <w:sz w:val="32"/>
          <w:szCs w:val="32"/>
          <w:lang w:val="en-US" w:eastAsia="zh-CN"/>
        </w:rPr>
        <w:t>2.增加专区退货退款功能，支持用户在结算主体提票前发起退货操作，系统生成专区退货单，并根据退货信息执行货款和质保金款项的调整。</w:t>
      </w:r>
    </w:p>
    <w:p>
      <w:pPr>
        <w:pStyle w:val="3"/>
        <w:widowControl w:val="0"/>
        <w:numPr>
          <w:ilvl w:val="0"/>
          <w:numId w:val="2"/>
        </w:numPr>
        <w:spacing w:before="120" w:line="560" w:lineRule="exact"/>
        <w:ind w:firstLine="640"/>
        <w:rPr>
          <w:rFonts w:hint="default"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报表中心新增“外部市场拓展情况表”</w:t>
      </w:r>
    </w:p>
    <w:p>
      <w:pPr>
        <w:rPr>
          <w:rFonts w:hint="eastAsia"/>
          <w:lang w:val="en-US" w:eastAsia="zh-CN"/>
        </w:rPr>
      </w:pPr>
      <w:r>
        <w:rPr>
          <w:rFonts w:hint="eastAsia"/>
          <w:lang w:val="en-US" w:eastAsia="zh-CN"/>
        </w:rPr>
        <w:t>1.“集团公司”菜单下新增“外部市场拓展情况表”，分页签展示2022年11月及之后各月度的外部用户数量、非招标业务数据、电商业务数据，按单位进行汇总，支持穿透明细与导出。</w:t>
      </w:r>
    </w:p>
    <w:p>
      <w:pPr>
        <w:rPr>
          <w:rFonts w:hint="default"/>
          <w:lang w:val="en-US" w:eastAsia="zh-CN"/>
        </w:rPr>
      </w:pPr>
      <w:r>
        <w:rPr>
          <w:rFonts w:hint="eastAsia"/>
          <w:lang w:val="en-US" w:eastAsia="zh-CN"/>
        </w:rPr>
        <w:t>2.“采购机构”菜单下新增“外部市场拓展情况表”，分页签展示2022年11月及之后各月度的外部用户数量、非招标业务数据、电商业务数据，各单位下属账号仅可查看自己单位的数据，支持穿透明细与导出。</w:t>
      </w:r>
    </w:p>
    <w:p>
      <w:pPr>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3A963"/>
    <w:multiLevelType w:val="singleLevel"/>
    <w:tmpl w:val="8313A963"/>
    <w:lvl w:ilvl="0" w:tentative="0">
      <w:start w:val="2"/>
      <w:numFmt w:val="chineseCounting"/>
      <w:suff w:val="nothing"/>
      <w:lvlText w:val="%1、"/>
      <w:lvlJc w:val="left"/>
      <w:rPr>
        <w:rFonts w:hint="eastAsia"/>
      </w:rPr>
    </w:lvl>
  </w:abstractNum>
  <w:abstractNum w:abstractNumId="1">
    <w:nsid w:val="A6B70599"/>
    <w:multiLevelType w:val="singleLevel"/>
    <w:tmpl w:val="A6B70599"/>
    <w:lvl w:ilvl="0" w:tentative="0">
      <w:start w:val="1"/>
      <w:numFmt w:val="decimal"/>
      <w:lvlText w:val="%1."/>
      <w:lvlJc w:val="left"/>
      <w:pPr>
        <w:tabs>
          <w:tab w:val="left" w:pos="312"/>
        </w:tabs>
      </w:pPr>
      <w:rPr>
        <w:rFonts w:hint="default"/>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82C2F"/>
    <w:rsid w:val="00036776"/>
    <w:rsid w:val="000B58A1"/>
    <w:rsid w:val="000E161C"/>
    <w:rsid w:val="00124A44"/>
    <w:rsid w:val="00144E88"/>
    <w:rsid w:val="00296919"/>
    <w:rsid w:val="002A2B3C"/>
    <w:rsid w:val="0037590A"/>
    <w:rsid w:val="004B3711"/>
    <w:rsid w:val="00500911"/>
    <w:rsid w:val="00502F82"/>
    <w:rsid w:val="005419C2"/>
    <w:rsid w:val="005438A6"/>
    <w:rsid w:val="0054757D"/>
    <w:rsid w:val="00581680"/>
    <w:rsid w:val="006039B8"/>
    <w:rsid w:val="00611B61"/>
    <w:rsid w:val="00685555"/>
    <w:rsid w:val="00777171"/>
    <w:rsid w:val="00863B18"/>
    <w:rsid w:val="00903BFB"/>
    <w:rsid w:val="00A160EB"/>
    <w:rsid w:val="00A77C52"/>
    <w:rsid w:val="00AD32B0"/>
    <w:rsid w:val="00B36C14"/>
    <w:rsid w:val="00C02736"/>
    <w:rsid w:val="00C35E0C"/>
    <w:rsid w:val="00D131EB"/>
    <w:rsid w:val="00D920EE"/>
    <w:rsid w:val="00E02817"/>
    <w:rsid w:val="00E03A86"/>
    <w:rsid w:val="00E87777"/>
    <w:rsid w:val="00EF22C8"/>
    <w:rsid w:val="00F27441"/>
    <w:rsid w:val="00F602A1"/>
    <w:rsid w:val="00F672C1"/>
    <w:rsid w:val="00FA0AE3"/>
    <w:rsid w:val="00FB0894"/>
    <w:rsid w:val="00FC11B7"/>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7D0098"/>
    <w:rsid w:val="04C40D6C"/>
    <w:rsid w:val="04CC2D24"/>
    <w:rsid w:val="052A4EA3"/>
    <w:rsid w:val="0543090F"/>
    <w:rsid w:val="054F2557"/>
    <w:rsid w:val="057E2857"/>
    <w:rsid w:val="058C6F7C"/>
    <w:rsid w:val="05952F37"/>
    <w:rsid w:val="05DC5D6F"/>
    <w:rsid w:val="061E1B96"/>
    <w:rsid w:val="063E16B5"/>
    <w:rsid w:val="06782E1A"/>
    <w:rsid w:val="06844DBE"/>
    <w:rsid w:val="068D1D22"/>
    <w:rsid w:val="06AE70A5"/>
    <w:rsid w:val="07081502"/>
    <w:rsid w:val="071346BD"/>
    <w:rsid w:val="0720104B"/>
    <w:rsid w:val="07207DA9"/>
    <w:rsid w:val="0725491E"/>
    <w:rsid w:val="07620793"/>
    <w:rsid w:val="07737AAD"/>
    <w:rsid w:val="078870A8"/>
    <w:rsid w:val="07AB1B56"/>
    <w:rsid w:val="07B72045"/>
    <w:rsid w:val="07CF068B"/>
    <w:rsid w:val="07D47A1B"/>
    <w:rsid w:val="07E25C65"/>
    <w:rsid w:val="0828546F"/>
    <w:rsid w:val="082D00E9"/>
    <w:rsid w:val="08390F4C"/>
    <w:rsid w:val="08690D78"/>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582DBF"/>
    <w:rsid w:val="0D5E0620"/>
    <w:rsid w:val="0D6D6016"/>
    <w:rsid w:val="0D7445F1"/>
    <w:rsid w:val="0D7C4FAB"/>
    <w:rsid w:val="0D91247D"/>
    <w:rsid w:val="0DB9021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40DF9"/>
    <w:rsid w:val="1564291D"/>
    <w:rsid w:val="15AE749F"/>
    <w:rsid w:val="15D55EF6"/>
    <w:rsid w:val="15EF11D7"/>
    <w:rsid w:val="15F219D7"/>
    <w:rsid w:val="16083052"/>
    <w:rsid w:val="163F5404"/>
    <w:rsid w:val="1648769E"/>
    <w:rsid w:val="165E438A"/>
    <w:rsid w:val="168A53B2"/>
    <w:rsid w:val="16B71A77"/>
    <w:rsid w:val="17413139"/>
    <w:rsid w:val="175428C6"/>
    <w:rsid w:val="17697C0B"/>
    <w:rsid w:val="177A5491"/>
    <w:rsid w:val="17A50193"/>
    <w:rsid w:val="17A51A40"/>
    <w:rsid w:val="17F7281D"/>
    <w:rsid w:val="18274395"/>
    <w:rsid w:val="184F1515"/>
    <w:rsid w:val="188736C9"/>
    <w:rsid w:val="189F4838"/>
    <w:rsid w:val="18E4027B"/>
    <w:rsid w:val="18E80893"/>
    <w:rsid w:val="18EC177B"/>
    <w:rsid w:val="190040A8"/>
    <w:rsid w:val="1913552B"/>
    <w:rsid w:val="19535528"/>
    <w:rsid w:val="19957EFB"/>
    <w:rsid w:val="19A42A1A"/>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F92A35"/>
    <w:rsid w:val="1E222E35"/>
    <w:rsid w:val="1E235396"/>
    <w:rsid w:val="1E2E7514"/>
    <w:rsid w:val="1E7B10A1"/>
    <w:rsid w:val="1EAC2E1D"/>
    <w:rsid w:val="1EC955BB"/>
    <w:rsid w:val="1F096EB6"/>
    <w:rsid w:val="1F0C0C27"/>
    <w:rsid w:val="1F1C779F"/>
    <w:rsid w:val="1F435A7C"/>
    <w:rsid w:val="1F4F56CD"/>
    <w:rsid w:val="1F780B84"/>
    <w:rsid w:val="1FAA6A00"/>
    <w:rsid w:val="1FB06610"/>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D6B4A"/>
    <w:rsid w:val="246E11FA"/>
    <w:rsid w:val="247E4585"/>
    <w:rsid w:val="247E6188"/>
    <w:rsid w:val="24C42EE0"/>
    <w:rsid w:val="24F06F03"/>
    <w:rsid w:val="252E2EC5"/>
    <w:rsid w:val="253A183F"/>
    <w:rsid w:val="253F772C"/>
    <w:rsid w:val="254000C3"/>
    <w:rsid w:val="254E5277"/>
    <w:rsid w:val="25524FFE"/>
    <w:rsid w:val="25546012"/>
    <w:rsid w:val="25783C88"/>
    <w:rsid w:val="25A137F3"/>
    <w:rsid w:val="25B239C9"/>
    <w:rsid w:val="25DA51C6"/>
    <w:rsid w:val="25DE583A"/>
    <w:rsid w:val="261B6691"/>
    <w:rsid w:val="26764F36"/>
    <w:rsid w:val="26774785"/>
    <w:rsid w:val="2687033A"/>
    <w:rsid w:val="268A548A"/>
    <w:rsid w:val="26B27CE2"/>
    <w:rsid w:val="26D32C40"/>
    <w:rsid w:val="270B1B6F"/>
    <w:rsid w:val="272C3AFB"/>
    <w:rsid w:val="274A70BF"/>
    <w:rsid w:val="274C6E32"/>
    <w:rsid w:val="27663824"/>
    <w:rsid w:val="277C7BD6"/>
    <w:rsid w:val="27A45517"/>
    <w:rsid w:val="27A572A1"/>
    <w:rsid w:val="27A83F1D"/>
    <w:rsid w:val="27B70E0A"/>
    <w:rsid w:val="27CF67CF"/>
    <w:rsid w:val="27EB010F"/>
    <w:rsid w:val="2810547D"/>
    <w:rsid w:val="28776283"/>
    <w:rsid w:val="28BE6D04"/>
    <w:rsid w:val="28D40A10"/>
    <w:rsid w:val="28F8242B"/>
    <w:rsid w:val="29087B40"/>
    <w:rsid w:val="294A7B4B"/>
    <w:rsid w:val="295D1E60"/>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873A9B"/>
    <w:rsid w:val="2CB81175"/>
    <w:rsid w:val="2CC24E39"/>
    <w:rsid w:val="2CC97D88"/>
    <w:rsid w:val="2CD01A46"/>
    <w:rsid w:val="2CDC0FA6"/>
    <w:rsid w:val="2CFF4D50"/>
    <w:rsid w:val="2D0E40DE"/>
    <w:rsid w:val="2D0F2824"/>
    <w:rsid w:val="2D100D11"/>
    <w:rsid w:val="2D4324F5"/>
    <w:rsid w:val="2D7714C8"/>
    <w:rsid w:val="2D784148"/>
    <w:rsid w:val="2D907DEC"/>
    <w:rsid w:val="2D943246"/>
    <w:rsid w:val="2DB008D4"/>
    <w:rsid w:val="2DEB41DB"/>
    <w:rsid w:val="2E15765A"/>
    <w:rsid w:val="2E1C67D6"/>
    <w:rsid w:val="2E48403A"/>
    <w:rsid w:val="2E4B2482"/>
    <w:rsid w:val="2E4D489C"/>
    <w:rsid w:val="2E591798"/>
    <w:rsid w:val="2E685538"/>
    <w:rsid w:val="2E934150"/>
    <w:rsid w:val="2E9C3083"/>
    <w:rsid w:val="2EB7105A"/>
    <w:rsid w:val="2EDB6721"/>
    <w:rsid w:val="2EF7253D"/>
    <w:rsid w:val="2F720F90"/>
    <w:rsid w:val="2F936A82"/>
    <w:rsid w:val="2FC13DA8"/>
    <w:rsid w:val="2FC46EA9"/>
    <w:rsid w:val="2FCD07DA"/>
    <w:rsid w:val="2FED40C9"/>
    <w:rsid w:val="2FF00296"/>
    <w:rsid w:val="2FF12D10"/>
    <w:rsid w:val="2FF63406"/>
    <w:rsid w:val="300417D3"/>
    <w:rsid w:val="3004215F"/>
    <w:rsid w:val="301F3682"/>
    <w:rsid w:val="30230F72"/>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83661"/>
    <w:rsid w:val="34B62FDA"/>
    <w:rsid w:val="35141EF3"/>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794854"/>
    <w:rsid w:val="367F515D"/>
    <w:rsid w:val="36837B3C"/>
    <w:rsid w:val="36B03427"/>
    <w:rsid w:val="36C1554D"/>
    <w:rsid w:val="36C54BD8"/>
    <w:rsid w:val="36D267AC"/>
    <w:rsid w:val="36E17FA3"/>
    <w:rsid w:val="372F2DB4"/>
    <w:rsid w:val="37834E57"/>
    <w:rsid w:val="37B86717"/>
    <w:rsid w:val="37BC4F0F"/>
    <w:rsid w:val="381A675E"/>
    <w:rsid w:val="383B3529"/>
    <w:rsid w:val="384D755A"/>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BE3080"/>
    <w:rsid w:val="39F83F0F"/>
    <w:rsid w:val="3A443BC4"/>
    <w:rsid w:val="3A912A87"/>
    <w:rsid w:val="3A94273E"/>
    <w:rsid w:val="3AA61A00"/>
    <w:rsid w:val="3AB238F3"/>
    <w:rsid w:val="3AF90F4C"/>
    <w:rsid w:val="3B341421"/>
    <w:rsid w:val="3B5A3AF5"/>
    <w:rsid w:val="3B7C7C80"/>
    <w:rsid w:val="3B8C7C2D"/>
    <w:rsid w:val="3BAE6045"/>
    <w:rsid w:val="3BB44F02"/>
    <w:rsid w:val="3BBE7A10"/>
    <w:rsid w:val="3BD152F4"/>
    <w:rsid w:val="3BD33AF6"/>
    <w:rsid w:val="3C043B8B"/>
    <w:rsid w:val="3C05718A"/>
    <w:rsid w:val="3C0B173E"/>
    <w:rsid w:val="3C0D09D9"/>
    <w:rsid w:val="3C20026A"/>
    <w:rsid w:val="3C722FE5"/>
    <w:rsid w:val="3C727F26"/>
    <w:rsid w:val="3CAA1DE9"/>
    <w:rsid w:val="3CBC1EB2"/>
    <w:rsid w:val="3CD77E09"/>
    <w:rsid w:val="3D0E77C8"/>
    <w:rsid w:val="3D38727D"/>
    <w:rsid w:val="3D3B124C"/>
    <w:rsid w:val="3D3D23EC"/>
    <w:rsid w:val="3D527E27"/>
    <w:rsid w:val="3D612044"/>
    <w:rsid w:val="3D6A5181"/>
    <w:rsid w:val="3D8D4AE7"/>
    <w:rsid w:val="3DA059A7"/>
    <w:rsid w:val="3DA65E10"/>
    <w:rsid w:val="3DCC5572"/>
    <w:rsid w:val="3E0221C9"/>
    <w:rsid w:val="3E6D1878"/>
    <w:rsid w:val="3E7B428B"/>
    <w:rsid w:val="3E8E4320"/>
    <w:rsid w:val="3E991330"/>
    <w:rsid w:val="3EAF5D78"/>
    <w:rsid w:val="3F180E70"/>
    <w:rsid w:val="3F452527"/>
    <w:rsid w:val="3F4A0997"/>
    <w:rsid w:val="3F4B61A0"/>
    <w:rsid w:val="3F7D6F40"/>
    <w:rsid w:val="3F89077E"/>
    <w:rsid w:val="3F905C86"/>
    <w:rsid w:val="3F95129A"/>
    <w:rsid w:val="3FB62B14"/>
    <w:rsid w:val="3FBC1677"/>
    <w:rsid w:val="3FBF18FB"/>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761EF"/>
    <w:rsid w:val="432E1C5B"/>
    <w:rsid w:val="433901D7"/>
    <w:rsid w:val="433B7357"/>
    <w:rsid w:val="434321CD"/>
    <w:rsid w:val="436F453D"/>
    <w:rsid w:val="43766B34"/>
    <w:rsid w:val="437C3B8C"/>
    <w:rsid w:val="438406E5"/>
    <w:rsid w:val="43AE09CA"/>
    <w:rsid w:val="43C4474A"/>
    <w:rsid w:val="43E34BDE"/>
    <w:rsid w:val="440E44B1"/>
    <w:rsid w:val="44234CD7"/>
    <w:rsid w:val="44763A99"/>
    <w:rsid w:val="447941CB"/>
    <w:rsid w:val="447B0768"/>
    <w:rsid w:val="448904C8"/>
    <w:rsid w:val="448E3C5C"/>
    <w:rsid w:val="44925F84"/>
    <w:rsid w:val="44D929CD"/>
    <w:rsid w:val="45097BDE"/>
    <w:rsid w:val="451B1D9B"/>
    <w:rsid w:val="45345594"/>
    <w:rsid w:val="45600794"/>
    <w:rsid w:val="459425B5"/>
    <w:rsid w:val="45AC3DB3"/>
    <w:rsid w:val="45E06F74"/>
    <w:rsid w:val="45EC02F6"/>
    <w:rsid w:val="460573DD"/>
    <w:rsid w:val="46095BAE"/>
    <w:rsid w:val="461B624F"/>
    <w:rsid w:val="462155C7"/>
    <w:rsid w:val="4639482D"/>
    <w:rsid w:val="464D2C66"/>
    <w:rsid w:val="4658695D"/>
    <w:rsid w:val="46624616"/>
    <w:rsid w:val="468F778D"/>
    <w:rsid w:val="46A900C7"/>
    <w:rsid w:val="46C06616"/>
    <w:rsid w:val="46CF6211"/>
    <w:rsid w:val="46FD19CC"/>
    <w:rsid w:val="47057698"/>
    <w:rsid w:val="47216F1C"/>
    <w:rsid w:val="477B333E"/>
    <w:rsid w:val="47875540"/>
    <w:rsid w:val="479906D2"/>
    <w:rsid w:val="47B5437F"/>
    <w:rsid w:val="47B91BA4"/>
    <w:rsid w:val="47E01CC8"/>
    <w:rsid w:val="48167E7D"/>
    <w:rsid w:val="48632753"/>
    <w:rsid w:val="48786241"/>
    <w:rsid w:val="487C4668"/>
    <w:rsid w:val="4881606F"/>
    <w:rsid w:val="48877B23"/>
    <w:rsid w:val="48A64390"/>
    <w:rsid w:val="48AF4E88"/>
    <w:rsid w:val="48C9597A"/>
    <w:rsid w:val="48F84E82"/>
    <w:rsid w:val="48FA35CC"/>
    <w:rsid w:val="49252D30"/>
    <w:rsid w:val="493835D8"/>
    <w:rsid w:val="496A3E05"/>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F80EAF"/>
    <w:rsid w:val="4C167581"/>
    <w:rsid w:val="4C381E5D"/>
    <w:rsid w:val="4C8001D4"/>
    <w:rsid w:val="4CC86CED"/>
    <w:rsid w:val="4CD20F40"/>
    <w:rsid w:val="4CE95F49"/>
    <w:rsid w:val="4CEA5C90"/>
    <w:rsid w:val="4CF81B25"/>
    <w:rsid w:val="4CFE6DF8"/>
    <w:rsid w:val="4D5B23B3"/>
    <w:rsid w:val="4D6B7C12"/>
    <w:rsid w:val="4DAF25E8"/>
    <w:rsid w:val="4E95263A"/>
    <w:rsid w:val="4EA20D57"/>
    <w:rsid w:val="4EAA2B1D"/>
    <w:rsid w:val="4ECF74D9"/>
    <w:rsid w:val="4EE00160"/>
    <w:rsid w:val="4EF75580"/>
    <w:rsid w:val="4F117234"/>
    <w:rsid w:val="4F51106B"/>
    <w:rsid w:val="4F681919"/>
    <w:rsid w:val="4F753892"/>
    <w:rsid w:val="4F791EF0"/>
    <w:rsid w:val="4F932A9A"/>
    <w:rsid w:val="4FCB3E04"/>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D3236F"/>
    <w:rsid w:val="52EE3930"/>
    <w:rsid w:val="52F6616D"/>
    <w:rsid w:val="53767ACA"/>
    <w:rsid w:val="53990549"/>
    <w:rsid w:val="53AC4393"/>
    <w:rsid w:val="53B616B2"/>
    <w:rsid w:val="53DA7B62"/>
    <w:rsid w:val="53E87467"/>
    <w:rsid w:val="540B3AED"/>
    <w:rsid w:val="54134FEA"/>
    <w:rsid w:val="542D2DFB"/>
    <w:rsid w:val="543A5CA3"/>
    <w:rsid w:val="54845564"/>
    <w:rsid w:val="54957942"/>
    <w:rsid w:val="54BF0CD2"/>
    <w:rsid w:val="55287EB0"/>
    <w:rsid w:val="55644CC9"/>
    <w:rsid w:val="558D58BD"/>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603BA"/>
    <w:rsid w:val="56B066E9"/>
    <w:rsid w:val="56D22964"/>
    <w:rsid w:val="56F722EC"/>
    <w:rsid w:val="5707195E"/>
    <w:rsid w:val="5748212E"/>
    <w:rsid w:val="574B4802"/>
    <w:rsid w:val="5775795C"/>
    <w:rsid w:val="577C7118"/>
    <w:rsid w:val="57951F33"/>
    <w:rsid w:val="57A93AB1"/>
    <w:rsid w:val="57AD0300"/>
    <w:rsid w:val="57B039B0"/>
    <w:rsid w:val="57EB6985"/>
    <w:rsid w:val="580C1987"/>
    <w:rsid w:val="58420E3E"/>
    <w:rsid w:val="58963595"/>
    <w:rsid w:val="58EA1CCD"/>
    <w:rsid w:val="590905A3"/>
    <w:rsid w:val="591D7BD6"/>
    <w:rsid w:val="592B327E"/>
    <w:rsid w:val="5964056E"/>
    <w:rsid w:val="59797E57"/>
    <w:rsid w:val="597E6BEF"/>
    <w:rsid w:val="59A24C07"/>
    <w:rsid w:val="59A5082C"/>
    <w:rsid w:val="59B63861"/>
    <w:rsid w:val="59B70095"/>
    <w:rsid w:val="59B778C0"/>
    <w:rsid w:val="59D77BA8"/>
    <w:rsid w:val="59DC45F5"/>
    <w:rsid w:val="5A05412F"/>
    <w:rsid w:val="5A0A4028"/>
    <w:rsid w:val="5A2009C4"/>
    <w:rsid w:val="5A324C51"/>
    <w:rsid w:val="5A5557B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C4192"/>
    <w:rsid w:val="5DF30E4D"/>
    <w:rsid w:val="5DF46CD8"/>
    <w:rsid w:val="5DF70C36"/>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8F00B6"/>
    <w:rsid w:val="61913748"/>
    <w:rsid w:val="61940DCD"/>
    <w:rsid w:val="61953B5F"/>
    <w:rsid w:val="61E379E8"/>
    <w:rsid w:val="620D6B6D"/>
    <w:rsid w:val="62223926"/>
    <w:rsid w:val="62C6792F"/>
    <w:rsid w:val="62EC6A12"/>
    <w:rsid w:val="62F54A9B"/>
    <w:rsid w:val="63941C8F"/>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7020C89"/>
    <w:rsid w:val="671C7A10"/>
    <w:rsid w:val="67200683"/>
    <w:rsid w:val="67287FCA"/>
    <w:rsid w:val="673D639A"/>
    <w:rsid w:val="6766700C"/>
    <w:rsid w:val="677221C7"/>
    <w:rsid w:val="679777B3"/>
    <w:rsid w:val="67C9725D"/>
    <w:rsid w:val="67D12DE4"/>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439C5"/>
    <w:rsid w:val="6A03112F"/>
    <w:rsid w:val="6A0C4B66"/>
    <w:rsid w:val="6A254C33"/>
    <w:rsid w:val="6A3473F8"/>
    <w:rsid w:val="6A766083"/>
    <w:rsid w:val="6A7B73F6"/>
    <w:rsid w:val="6AB51FC3"/>
    <w:rsid w:val="6AE0057A"/>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D3005"/>
    <w:rsid w:val="6D840B42"/>
    <w:rsid w:val="6D8D7AE0"/>
    <w:rsid w:val="6D8E6829"/>
    <w:rsid w:val="6DB71505"/>
    <w:rsid w:val="6DF064B5"/>
    <w:rsid w:val="6E007FC4"/>
    <w:rsid w:val="6E2E44F5"/>
    <w:rsid w:val="6E32585C"/>
    <w:rsid w:val="6E4658DC"/>
    <w:rsid w:val="6E603212"/>
    <w:rsid w:val="6EB519E6"/>
    <w:rsid w:val="6EBC5D2F"/>
    <w:rsid w:val="6EBF7D47"/>
    <w:rsid w:val="6EC5249C"/>
    <w:rsid w:val="6ED10F25"/>
    <w:rsid w:val="6EE83809"/>
    <w:rsid w:val="6EE93920"/>
    <w:rsid w:val="6F0034B9"/>
    <w:rsid w:val="6F21535C"/>
    <w:rsid w:val="6F451CBA"/>
    <w:rsid w:val="6F737205"/>
    <w:rsid w:val="6FAB1308"/>
    <w:rsid w:val="6FAF5E3C"/>
    <w:rsid w:val="6FB33650"/>
    <w:rsid w:val="6FCA215E"/>
    <w:rsid w:val="6FDF643C"/>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9F0901"/>
    <w:rsid w:val="75B34A58"/>
    <w:rsid w:val="75BF54C0"/>
    <w:rsid w:val="75F35CFC"/>
    <w:rsid w:val="761D4AF9"/>
    <w:rsid w:val="76253522"/>
    <w:rsid w:val="7626108C"/>
    <w:rsid w:val="764741D1"/>
    <w:rsid w:val="76490D07"/>
    <w:rsid w:val="76660B4B"/>
    <w:rsid w:val="769C2FB4"/>
    <w:rsid w:val="76AA64DB"/>
    <w:rsid w:val="76C10C02"/>
    <w:rsid w:val="76C747EF"/>
    <w:rsid w:val="76DD5403"/>
    <w:rsid w:val="771B16A4"/>
    <w:rsid w:val="771F15FE"/>
    <w:rsid w:val="7728429A"/>
    <w:rsid w:val="77372375"/>
    <w:rsid w:val="77466D27"/>
    <w:rsid w:val="77477368"/>
    <w:rsid w:val="776E6FE0"/>
    <w:rsid w:val="77766271"/>
    <w:rsid w:val="77830171"/>
    <w:rsid w:val="778E624D"/>
    <w:rsid w:val="77AD2167"/>
    <w:rsid w:val="77B82C2F"/>
    <w:rsid w:val="77CB1829"/>
    <w:rsid w:val="77E0567B"/>
    <w:rsid w:val="77E65D29"/>
    <w:rsid w:val="784400DC"/>
    <w:rsid w:val="78910FFE"/>
    <w:rsid w:val="78AC208A"/>
    <w:rsid w:val="78C77E80"/>
    <w:rsid w:val="78D37930"/>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AD0"/>
    <w:rsid w:val="79C1677D"/>
    <w:rsid w:val="79C7434B"/>
    <w:rsid w:val="7A2B3660"/>
    <w:rsid w:val="7A4603DB"/>
    <w:rsid w:val="7A6A0CE1"/>
    <w:rsid w:val="7A6B2796"/>
    <w:rsid w:val="7A6D36FA"/>
    <w:rsid w:val="7A846939"/>
    <w:rsid w:val="7AA60999"/>
    <w:rsid w:val="7AA77296"/>
    <w:rsid w:val="7ABE19E7"/>
    <w:rsid w:val="7AC51322"/>
    <w:rsid w:val="7ACD1FA0"/>
    <w:rsid w:val="7AD74D81"/>
    <w:rsid w:val="7AF244C2"/>
    <w:rsid w:val="7B006F7F"/>
    <w:rsid w:val="7B035F93"/>
    <w:rsid w:val="7B516DFC"/>
    <w:rsid w:val="7B637D41"/>
    <w:rsid w:val="7B6C49AA"/>
    <w:rsid w:val="7BB04B5E"/>
    <w:rsid w:val="7BB57D54"/>
    <w:rsid w:val="7C1316F8"/>
    <w:rsid w:val="7C28698A"/>
    <w:rsid w:val="7C2E3ECA"/>
    <w:rsid w:val="7C400665"/>
    <w:rsid w:val="7C501719"/>
    <w:rsid w:val="7C6333F8"/>
    <w:rsid w:val="7C6E3729"/>
    <w:rsid w:val="7C9B270B"/>
    <w:rsid w:val="7CAC259A"/>
    <w:rsid w:val="7CB851AE"/>
    <w:rsid w:val="7D1F1A97"/>
    <w:rsid w:val="7D446FEE"/>
    <w:rsid w:val="7D484B64"/>
    <w:rsid w:val="7D9121E7"/>
    <w:rsid w:val="7D922090"/>
    <w:rsid w:val="7D955C1F"/>
    <w:rsid w:val="7DFE3946"/>
    <w:rsid w:val="7E006DEA"/>
    <w:rsid w:val="7E0A08C7"/>
    <w:rsid w:val="7E1178E2"/>
    <w:rsid w:val="7E3141BA"/>
    <w:rsid w:val="7E5210C0"/>
    <w:rsid w:val="7E6F0862"/>
    <w:rsid w:val="7E6F60EB"/>
    <w:rsid w:val="7E942656"/>
    <w:rsid w:val="7EE956F2"/>
    <w:rsid w:val="7F014DC7"/>
    <w:rsid w:val="7F3218E1"/>
    <w:rsid w:val="7F4E25F9"/>
    <w:rsid w:val="7F6B7EAD"/>
    <w:rsid w:val="7F716A64"/>
    <w:rsid w:val="7F93455B"/>
    <w:rsid w:val="7FC140F3"/>
    <w:rsid w:val="7FCC5C17"/>
    <w:rsid w:val="7FE21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1"/>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2940"/>
      <w:jc w:val="center"/>
    </w:p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footer"/>
    <w:basedOn w:val="1"/>
    <w:link w:val="50"/>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4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qFormat/>
    <w:uiPriority w:val="0"/>
  </w:style>
  <w:style w:type="paragraph" w:styleId="10">
    <w:name w:val="Normal (Web)"/>
    <w:basedOn w:val="1"/>
    <w:qFormat/>
    <w:uiPriority w:val="0"/>
    <w:pPr>
      <w:spacing w:before="150"/>
      <w:jc w:val="left"/>
    </w:pPr>
    <w:rPr>
      <w:kern w:val="0"/>
      <w:sz w:val="24"/>
    </w:rPr>
  </w:style>
  <w:style w:type="character" w:styleId="13">
    <w:name w:val="Strong"/>
    <w:basedOn w:val="12"/>
    <w:qFormat/>
    <w:uiPriority w:val="0"/>
    <w:rPr>
      <w:b/>
    </w:rPr>
  </w:style>
  <w:style w:type="character" w:styleId="14">
    <w:name w:val="FollowedHyperlink"/>
    <w:basedOn w:val="12"/>
    <w:qFormat/>
    <w:uiPriority w:val="0"/>
    <w:rPr>
      <w:color w:val="3B73AF"/>
      <w:u w:val="none"/>
    </w:rPr>
  </w:style>
  <w:style w:type="character" w:styleId="15">
    <w:name w:val="Emphasis"/>
    <w:basedOn w:val="12"/>
    <w:qFormat/>
    <w:uiPriority w:val="0"/>
    <w:rPr>
      <w:i/>
    </w:rPr>
  </w:style>
  <w:style w:type="character" w:styleId="16">
    <w:name w:val="HTML Definition"/>
    <w:basedOn w:val="12"/>
    <w:qFormat/>
    <w:uiPriority w:val="0"/>
    <w:rPr>
      <w:i/>
    </w:rPr>
  </w:style>
  <w:style w:type="character" w:styleId="17">
    <w:name w:val="HTML Variable"/>
    <w:basedOn w:val="12"/>
    <w:qFormat/>
    <w:uiPriority w:val="0"/>
    <w:rPr>
      <w:i/>
    </w:rPr>
  </w:style>
  <w:style w:type="character" w:styleId="18">
    <w:name w:val="Hyperlink"/>
    <w:basedOn w:val="12"/>
    <w:qFormat/>
    <w:uiPriority w:val="0"/>
    <w:rPr>
      <w:color w:val="3B73AF"/>
      <w:u w:val="none"/>
    </w:rPr>
  </w:style>
  <w:style w:type="character" w:styleId="19">
    <w:name w:val="HTML Code"/>
    <w:basedOn w:val="12"/>
    <w:qFormat/>
    <w:uiPriority w:val="0"/>
    <w:rPr>
      <w:rFonts w:ascii="monospace" w:hAnsi="monospace" w:eastAsia="monospace" w:cs="monospace"/>
      <w:sz w:val="20"/>
    </w:rPr>
  </w:style>
  <w:style w:type="character" w:styleId="20">
    <w:name w:val="HTML Cite"/>
    <w:basedOn w:val="12"/>
    <w:qFormat/>
    <w:uiPriority w:val="0"/>
    <w:rPr>
      <w:i/>
    </w:rPr>
  </w:style>
  <w:style w:type="character" w:styleId="21">
    <w:name w:val="HTML Keyboard"/>
    <w:basedOn w:val="12"/>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2">
    <w:name w:val="List Paragraph"/>
    <w:basedOn w:val="1"/>
    <w:qFormat/>
    <w:uiPriority w:val="34"/>
    <w:pPr>
      <w:ind w:firstLine="420"/>
    </w:pPr>
  </w:style>
  <w:style w:type="character" w:customStyle="1" w:styleId="23">
    <w:name w:val="icon-toolbartoggle"/>
    <w:basedOn w:val="12"/>
    <w:qFormat/>
    <w:uiPriority w:val="0"/>
  </w:style>
  <w:style w:type="character" w:customStyle="1" w:styleId="24">
    <w:name w:val="icon"/>
    <w:basedOn w:val="12"/>
    <w:qFormat/>
    <w:uiPriority w:val="0"/>
  </w:style>
  <w:style w:type="character" w:customStyle="1" w:styleId="25">
    <w:name w:val="content"/>
    <w:basedOn w:val="12"/>
    <w:qFormat/>
    <w:uiPriority w:val="0"/>
  </w:style>
  <w:style w:type="character" w:customStyle="1" w:styleId="26">
    <w:name w:val="ghx-sub-info"/>
    <w:basedOn w:val="12"/>
    <w:qFormat/>
    <w:uiPriority w:val="0"/>
  </w:style>
  <w:style w:type="character" w:customStyle="1" w:styleId="27">
    <w:name w:val="hilite4"/>
    <w:basedOn w:val="12"/>
    <w:qFormat/>
    <w:uiPriority w:val="0"/>
    <w:rPr>
      <w:shd w:val="clear" w:color="auto" w:fill="FFE9A8"/>
    </w:rPr>
  </w:style>
  <w:style w:type="character" w:customStyle="1" w:styleId="28">
    <w:name w:val="active21"/>
    <w:basedOn w:val="12"/>
    <w:qFormat/>
    <w:uiPriority w:val="0"/>
    <w:rPr>
      <w:color w:val="FFFFFF"/>
      <w:shd w:val="clear" w:color="auto" w:fill="3B73AF"/>
    </w:rPr>
  </w:style>
  <w:style w:type="character" w:customStyle="1" w:styleId="29">
    <w:name w:val="hover18"/>
    <w:basedOn w:val="12"/>
    <w:qFormat/>
    <w:uiPriority w:val="0"/>
    <w:rPr>
      <w:u w:val="single"/>
    </w:rPr>
  </w:style>
  <w:style w:type="character" w:customStyle="1" w:styleId="30">
    <w:name w:val="hover19"/>
    <w:basedOn w:val="12"/>
    <w:qFormat/>
    <w:uiPriority w:val="0"/>
    <w:rPr>
      <w:u w:val="single"/>
    </w:rPr>
  </w:style>
  <w:style w:type="character" w:customStyle="1" w:styleId="31">
    <w:name w:val="icon-date2"/>
    <w:basedOn w:val="12"/>
    <w:qFormat/>
    <w:uiPriority w:val="0"/>
  </w:style>
  <w:style w:type="character" w:customStyle="1" w:styleId="32">
    <w:name w:val="icon-date3"/>
    <w:basedOn w:val="12"/>
    <w:qFormat/>
    <w:uiPriority w:val="0"/>
  </w:style>
  <w:style w:type="character" w:customStyle="1" w:styleId="33">
    <w:name w:val="before"/>
    <w:basedOn w:val="12"/>
    <w:qFormat/>
    <w:uiPriority w:val="0"/>
  </w:style>
  <w:style w:type="character" w:customStyle="1" w:styleId="34">
    <w:name w:val="success"/>
    <w:basedOn w:val="12"/>
    <w:qFormat/>
    <w:uiPriority w:val="0"/>
    <w:rPr>
      <w:color w:val="14892C"/>
    </w:rPr>
  </w:style>
  <w:style w:type="character" w:customStyle="1" w:styleId="35">
    <w:name w:val="failure"/>
    <w:basedOn w:val="12"/>
    <w:qFormat/>
    <w:uiPriority w:val="0"/>
    <w:rPr>
      <w:color w:val="D04437"/>
    </w:rPr>
  </w:style>
  <w:style w:type="character" w:customStyle="1" w:styleId="36">
    <w:name w:val="aui-label5"/>
    <w:basedOn w:val="12"/>
    <w:qFormat/>
    <w:uiPriority w:val="0"/>
    <w:rPr>
      <w:color w:val="333333"/>
    </w:rPr>
  </w:style>
  <w:style w:type="character" w:customStyle="1" w:styleId="37">
    <w:name w:val="after2"/>
    <w:basedOn w:val="12"/>
    <w:qFormat/>
    <w:uiPriority w:val="0"/>
  </w:style>
  <w:style w:type="character" w:customStyle="1" w:styleId="38">
    <w:name w:val="error13"/>
    <w:basedOn w:val="12"/>
    <w:qFormat/>
    <w:uiPriority w:val="0"/>
  </w:style>
  <w:style w:type="character" w:customStyle="1" w:styleId="39">
    <w:name w:val="after"/>
    <w:basedOn w:val="12"/>
    <w:qFormat/>
    <w:uiPriority w:val="0"/>
  </w:style>
  <w:style w:type="character" w:customStyle="1" w:styleId="40">
    <w:name w:val="ghx-resolution-update-disabled"/>
    <w:basedOn w:val="12"/>
    <w:qFormat/>
    <w:uiPriority w:val="0"/>
  </w:style>
  <w:style w:type="character" w:customStyle="1" w:styleId="41">
    <w:name w:val="hover21"/>
    <w:basedOn w:val="12"/>
    <w:qFormat/>
    <w:uiPriority w:val="0"/>
    <w:rPr>
      <w:u w:val="single"/>
    </w:rPr>
  </w:style>
  <w:style w:type="character" w:customStyle="1" w:styleId="42">
    <w:name w:val="hover22"/>
    <w:basedOn w:val="12"/>
    <w:qFormat/>
    <w:uiPriority w:val="0"/>
    <w:rPr>
      <w:u w:val="single"/>
    </w:rPr>
  </w:style>
  <w:style w:type="character" w:customStyle="1" w:styleId="43">
    <w:name w:val="hilite"/>
    <w:basedOn w:val="12"/>
    <w:qFormat/>
    <w:uiPriority w:val="0"/>
    <w:rPr>
      <w:shd w:val="clear" w:color="auto" w:fill="FFE9A8"/>
    </w:rPr>
  </w:style>
  <w:style w:type="character" w:customStyle="1" w:styleId="44">
    <w:name w:val="active22"/>
    <w:basedOn w:val="12"/>
    <w:qFormat/>
    <w:uiPriority w:val="0"/>
    <w:rPr>
      <w:color w:val="FFFFFF"/>
      <w:shd w:val="clear" w:color="auto" w:fill="3B73AF"/>
    </w:rPr>
  </w:style>
  <w:style w:type="character" w:customStyle="1" w:styleId="45">
    <w:name w:val="aui-label19"/>
    <w:basedOn w:val="12"/>
    <w:qFormat/>
    <w:uiPriority w:val="0"/>
    <w:rPr>
      <w:color w:val="333333"/>
    </w:rPr>
  </w:style>
  <w:style w:type="character" w:customStyle="1" w:styleId="46">
    <w:name w:val="aui-avatar-project2"/>
    <w:basedOn w:val="12"/>
    <w:qFormat/>
    <w:uiPriority w:val="0"/>
  </w:style>
  <w:style w:type="character" w:customStyle="1" w:styleId="47">
    <w:name w:val="success2"/>
    <w:basedOn w:val="12"/>
    <w:qFormat/>
    <w:uiPriority w:val="0"/>
    <w:rPr>
      <w:color w:val="14892C"/>
    </w:rPr>
  </w:style>
  <w:style w:type="character" w:customStyle="1" w:styleId="48">
    <w:name w:val="active9"/>
    <w:basedOn w:val="12"/>
    <w:qFormat/>
    <w:uiPriority w:val="0"/>
    <w:rPr>
      <w:shd w:val="clear" w:color="auto" w:fill="3B73AF"/>
    </w:rPr>
  </w:style>
  <w:style w:type="character" w:customStyle="1" w:styleId="49">
    <w:name w:val="页眉 字符"/>
    <w:basedOn w:val="12"/>
    <w:link w:val="8"/>
    <w:qFormat/>
    <w:uiPriority w:val="0"/>
    <w:rPr>
      <w:rFonts w:ascii="仿宋_GB2312" w:hAnsi="Calibri" w:eastAsia="仿宋_GB2312"/>
      <w:color w:val="000000"/>
      <w:kern w:val="2"/>
      <w:sz w:val="18"/>
      <w:szCs w:val="18"/>
    </w:rPr>
  </w:style>
  <w:style w:type="character" w:customStyle="1" w:styleId="50">
    <w:name w:val="页脚 字符"/>
    <w:basedOn w:val="12"/>
    <w:link w:val="7"/>
    <w:qFormat/>
    <w:uiPriority w:val="0"/>
    <w:rPr>
      <w:rFonts w:ascii="仿宋_GB2312" w:hAnsi="Calibri" w:eastAsia="仿宋_GB2312"/>
      <w:color w:val="000000"/>
      <w:kern w:val="2"/>
      <w:sz w:val="18"/>
      <w:szCs w:val="18"/>
    </w:rPr>
  </w:style>
  <w:style w:type="character" w:customStyle="1" w:styleId="51">
    <w:name w:val="标题 1 字符"/>
    <w:basedOn w:val="12"/>
    <w:link w:val="3"/>
    <w:qFormat/>
    <w:uiPriority w:val="0"/>
    <w:rPr>
      <w:rFonts w:ascii="宋体" w:hAnsi="宋体"/>
      <w:color w:val="333333"/>
      <w:kern w:val="44"/>
      <w:sz w:val="36"/>
      <w:szCs w:val="36"/>
    </w:rPr>
  </w:style>
  <w:style w:type="paragraph" w:customStyle="1" w:styleId="52">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Words>
  <Characters>438</Characters>
  <Lines>3</Lines>
  <Paragraphs>1</Paragraphs>
  <TotalTime>3</TotalTime>
  <ScaleCrop>false</ScaleCrop>
  <LinksUpToDate>false</LinksUpToDate>
  <CharactersWithSpaces>513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2019-12-26T08:28:00Z</dcterms:created>
  <dc:creator>jxp</dc:creator>
  <cp:lastModifiedBy>魏超</cp:lastModifiedBy>
  <dcterms:modified xsi:type="dcterms:W3CDTF">2022-12-29T03:08:50Z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348FC968236A4E3FB6BE41FE54D47470</vt:lpwstr>
  </property>
</Properties>
</file>